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0CA0D" w14:textId="2ACF35BA" w:rsidR="00BA73A4" w:rsidRDefault="0077029F" w:rsidP="009522FD">
      <w:pPr>
        <w:pStyle w:val="Title"/>
      </w:pPr>
      <w:r w:rsidRPr="0077029F">
        <w:rPr>
          <w:noProof/>
        </w:rPr>
        <w:drawing>
          <wp:inline distT="0" distB="0" distL="0" distR="0" wp14:anchorId="6A4CFC5B" wp14:editId="5D755084">
            <wp:extent cx="5943600" cy="1374140"/>
            <wp:effectExtent l="0" t="0" r="0" b="0"/>
            <wp:docPr id="9" name="Picture 8">
              <a:extLst xmlns:a="http://schemas.openxmlformats.org/drawingml/2006/main">
                <a:ext uri="{FF2B5EF4-FFF2-40B4-BE49-F238E27FC236}">
                  <a16:creationId xmlns:a16="http://schemas.microsoft.com/office/drawing/2014/main" id="{F6E2F1AD-E97F-4605-BE57-566EA048F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6E2F1AD-E97F-4605-BE57-566EA048FA3C}"/>
                        </a:ext>
                      </a:extLst>
                    </pic:cNvPr>
                    <pic:cNvPicPr>
                      <a:picLocks noChangeAspect="1"/>
                    </pic:cNvPicPr>
                  </pic:nvPicPr>
                  <pic:blipFill>
                    <a:blip r:embed="rId8"/>
                    <a:stretch>
                      <a:fillRect/>
                    </a:stretch>
                  </pic:blipFill>
                  <pic:spPr>
                    <a:xfrm>
                      <a:off x="0" y="0"/>
                      <a:ext cx="5943600" cy="1374140"/>
                    </a:xfrm>
                    <a:prstGeom prst="rect">
                      <a:avLst/>
                    </a:prstGeom>
                  </pic:spPr>
                </pic:pic>
              </a:graphicData>
            </a:graphic>
          </wp:inline>
        </w:drawing>
      </w:r>
    </w:p>
    <w:p w14:paraId="57317678" w14:textId="77777777" w:rsidR="00F6071D" w:rsidRPr="00F6071D" w:rsidRDefault="00F6071D" w:rsidP="009522FD"/>
    <w:p w14:paraId="28D0F4AD" w14:textId="55CD0547" w:rsidR="009522FD" w:rsidRDefault="00DA5AFB" w:rsidP="009522FD">
      <w:pPr>
        <w:pStyle w:val="Title"/>
      </w:pPr>
      <w:r>
        <w:t>Politique d’authentification robuste de l’utilisateur</w:t>
      </w:r>
    </w:p>
    <w:p w14:paraId="7343C150" w14:textId="240F05D9" w:rsidR="008260A3" w:rsidRDefault="00DA5AFB" w:rsidP="009522FD">
      <w:r>
        <w:t>1</w:t>
      </w:r>
      <w:r w:rsidRPr="009522FD">
        <w:rPr>
          <w:vertAlign w:val="superscript"/>
        </w:rPr>
        <w:t>er</w:t>
      </w:r>
      <w:r>
        <w:t> janvier 2021</w:t>
      </w:r>
    </w:p>
    <w:p w14:paraId="5FEF3BA7" w14:textId="77777777" w:rsidR="00A15E10" w:rsidRDefault="00A15E10" w:rsidP="009522FD">
      <w:pPr>
        <w:pStyle w:val="NoSpacing"/>
        <w:ind w:right="4"/>
        <w:rPr>
          <w:rStyle w:val="SubtleEmphasis"/>
          <w:color w:val="7F7F7F" w:themeColor="text1" w:themeTint="80"/>
          <w:sz w:val="22"/>
          <w:szCs w:val="22"/>
          <w:lang w:eastAsia="ko-KR"/>
        </w:rPr>
      </w:pPr>
    </w:p>
    <w:p w14:paraId="0D78A08C" w14:textId="77777777" w:rsidR="00A15E10" w:rsidRDefault="00A15E10" w:rsidP="009522FD">
      <w:pPr>
        <w:pStyle w:val="NoSpacing"/>
        <w:ind w:right="4"/>
        <w:rPr>
          <w:rStyle w:val="SubtleEmphasis"/>
          <w:color w:val="7F7F7F" w:themeColor="text1" w:themeTint="80"/>
          <w:sz w:val="22"/>
          <w:szCs w:val="22"/>
          <w:lang w:eastAsia="ko-KR"/>
        </w:rPr>
      </w:pPr>
    </w:p>
    <w:p w14:paraId="7B07A7FE" w14:textId="77777777" w:rsidR="00A15E10" w:rsidRDefault="00A15E10" w:rsidP="009522FD">
      <w:pPr>
        <w:pStyle w:val="NoSpacing"/>
        <w:ind w:right="4"/>
        <w:rPr>
          <w:rStyle w:val="SubtleEmphasis"/>
          <w:color w:val="7F7F7F" w:themeColor="text1" w:themeTint="80"/>
          <w:sz w:val="22"/>
          <w:szCs w:val="22"/>
          <w:lang w:eastAsia="ko-KR"/>
        </w:rPr>
      </w:pPr>
    </w:p>
    <w:p w14:paraId="69420A19" w14:textId="77777777" w:rsidR="00A15E10" w:rsidRDefault="00A15E10" w:rsidP="009522FD">
      <w:pPr>
        <w:pStyle w:val="NoSpacing"/>
        <w:ind w:right="4"/>
        <w:rPr>
          <w:rStyle w:val="SubtleEmphasis"/>
          <w:color w:val="7F7F7F" w:themeColor="text1" w:themeTint="80"/>
          <w:sz w:val="22"/>
          <w:szCs w:val="22"/>
          <w:lang w:eastAsia="ko-KR"/>
        </w:rPr>
      </w:pPr>
    </w:p>
    <w:p w14:paraId="48F0FD1F" w14:textId="77777777" w:rsidR="00A15E10" w:rsidRDefault="00A15E10" w:rsidP="009522FD">
      <w:pPr>
        <w:pStyle w:val="NoSpacing"/>
        <w:ind w:right="4"/>
        <w:rPr>
          <w:rStyle w:val="SubtleEmphasis"/>
          <w:color w:val="7F7F7F" w:themeColor="text1" w:themeTint="80"/>
          <w:sz w:val="22"/>
          <w:szCs w:val="22"/>
          <w:lang w:eastAsia="ko-KR"/>
        </w:rPr>
      </w:pPr>
    </w:p>
    <w:p w14:paraId="7DD22D44" w14:textId="77777777" w:rsidR="00A15E10" w:rsidRDefault="00A15E10" w:rsidP="009522FD">
      <w:pPr>
        <w:pStyle w:val="NoSpacing"/>
        <w:ind w:right="4"/>
        <w:rPr>
          <w:rStyle w:val="SubtleEmphasis"/>
          <w:color w:val="7F7F7F" w:themeColor="text1" w:themeTint="80"/>
          <w:sz w:val="22"/>
          <w:szCs w:val="22"/>
          <w:lang w:eastAsia="ko-KR"/>
        </w:rPr>
      </w:pPr>
    </w:p>
    <w:p w14:paraId="6CEBD02A" w14:textId="77777777" w:rsidR="00A15E10" w:rsidRDefault="00A15E10" w:rsidP="009522FD">
      <w:pPr>
        <w:pStyle w:val="NoSpacing"/>
        <w:ind w:right="4"/>
        <w:rPr>
          <w:rStyle w:val="SubtleEmphasis"/>
          <w:color w:val="7F7F7F" w:themeColor="text1" w:themeTint="80"/>
          <w:sz w:val="22"/>
          <w:szCs w:val="22"/>
          <w:lang w:eastAsia="ko-KR"/>
        </w:rPr>
      </w:pPr>
    </w:p>
    <w:p w14:paraId="1710FF23" w14:textId="77777777" w:rsidR="00A15E10" w:rsidRDefault="00A15E10" w:rsidP="009522FD">
      <w:pPr>
        <w:pStyle w:val="NoSpacing"/>
        <w:ind w:right="4"/>
        <w:rPr>
          <w:rStyle w:val="SubtleEmphasis"/>
          <w:color w:val="7F7F7F" w:themeColor="text1" w:themeTint="80"/>
          <w:sz w:val="22"/>
          <w:szCs w:val="22"/>
          <w:lang w:eastAsia="ko-KR"/>
        </w:rPr>
      </w:pPr>
    </w:p>
    <w:p w14:paraId="036B32A0" w14:textId="77777777" w:rsidR="00A15E10" w:rsidRDefault="00A15E10" w:rsidP="009522FD">
      <w:pPr>
        <w:pStyle w:val="NoSpacing"/>
        <w:ind w:right="4"/>
        <w:rPr>
          <w:rStyle w:val="SubtleEmphasis"/>
          <w:color w:val="7F7F7F" w:themeColor="text1" w:themeTint="80"/>
          <w:sz w:val="22"/>
          <w:szCs w:val="22"/>
          <w:lang w:eastAsia="ko-KR"/>
        </w:rPr>
      </w:pPr>
    </w:p>
    <w:p w14:paraId="08D1C7C8" w14:textId="77777777" w:rsidR="00A15E10" w:rsidRDefault="00A15E10" w:rsidP="009522FD">
      <w:pPr>
        <w:pStyle w:val="NoSpacing"/>
        <w:ind w:right="4"/>
        <w:rPr>
          <w:rStyle w:val="SubtleEmphasis"/>
          <w:color w:val="7F7F7F" w:themeColor="text1" w:themeTint="80"/>
          <w:sz w:val="22"/>
          <w:szCs w:val="22"/>
          <w:lang w:eastAsia="ko-KR"/>
        </w:rPr>
      </w:pPr>
    </w:p>
    <w:p w14:paraId="1378B383" w14:textId="77777777" w:rsidR="00A15E10" w:rsidRDefault="00A15E10" w:rsidP="009522FD">
      <w:pPr>
        <w:pStyle w:val="NoSpacing"/>
        <w:ind w:right="4"/>
        <w:rPr>
          <w:rStyle w:val="SubtleEmphasis"/>
          <w:color w:val="7F7F7F" w:themeColor="text1" w:themeTint="80"/>
          <w:sz w:val="22"/>
          <w:szCs w:val="22"/>
          <w:lang w:eastAsia="ko-KR"/>
        </w:rPr>
      </w:pPr>
    </w:p>
    <w:p w14:paraId="357A484C" w14:textId="77777777" w:rsidR="00A15E10" w:rsidRDefault="00A15E10" w:rsidP="009522FD">
      <w:pPr>
        <w:pStyle w:val="NoSpacing"/>
        <w:ind w:right="4"/>
        <w:rPr>
          <w:rStyle w:val="SubtleEmphasis"/>
          <w:color w:val="7F7F7F" w:themeColor="text1" w:themeTint="80"/>
          <w:sz w:val="22"/>
          <w:szCs w:val="22"/>
          <w:lang w:eastAsia="ko-KR"/>
        </w:rPr>
      </w:pPr>
    </w:p>
    <w:p w14:paraId="6DEA6B1C" w14:textId="52F5E5D6" w:rsidR="00A15E10" w:rsidRDefault="00A15E10" w:rsidP="009522FD">
      <w:pPr>
        <w:pStyle w:val="NoSpacing"/>
        <w:ind w:right="4"/>
        <w:rPr>
          <w:rStyle w:val="SubtleEmphasis"/>
          <w:color w:val="7F7F7F" w:themeColor="text1" w:themeTint="80"/>
          <w:sz w:val="22"/>
          <w:szCs w:val="22"/>
          <w:lang w:eastAsia="ko-KR"/>
        </w:rPr>
      </w:pPr>
    </w:p>
    <w:p w14:paraId="3E7F27F9" w14:textId="77777777" w:rsidR="00581076" w:rsidRDefault="00581076" w:rsidP="009522FD">
      <w:pPr>
        <w:pStyle w:val="NoSpacing"/>
        <w:ind w:right="4"/>
        <w:rPr>
          <w:rStyle w:val="SubtleEmphasis"/>
          <w:color w:val="7F7F7F" w:themeColor="text1" w:themeTint="80"/>
          <w:sz w:val="22"/>
          <w:szCs w:val="22"/>
          <w:lang w:eastAsia="ko-KR"/>
        </w:rPr>
      </w:pPr>
    </w:p>
    <w:p w14:paraId="2F972FD9" w14:textId="77777777" w:rsidR="00A15E10" w:rsidRDefault="00A15E10" w:rsidP="009522FD">
      <w:pPr>
        <w:pStyle w:val="NoSpacing"/>
        <w:ind w:right="4"/>
        <w:rPr>
          <w:rStyle w:val="SubtleEmphasis"/>
          <w:color w:val="7F7F7F" w:themeColor="text1" w:themeTint="80"/>
          <w:sz w:val="22"/>
          <w:szCs w:val="22"/>
          <w:lang w:eastAsia="ko-KR"/>
        </w:rPr>
      </w:pPr>
    </w:p>
    <w:p w14:paraId="42E88610" w14:textId="77777777" w:rsidR="00A15E10" w:rsidRDefault="00A15E10" w:rsidP="009522FD">
      <w:pPr>
        <w:pStyle w:val="NoSpacing"/>
        <w:ind w:right="4"/>
        <w:rPr>
          <w:rStyle w:val="SubtleEmphasis"/>
          <w:color w:val="7F7F7F" w:themeColor="text1" w:themeTint="80"/>
          <w:sz w:val="22"/>
          <w:szCs w:val="22"/>
          <w:lang w:eastAsia="ko-KR"/>
        </w:rPr>
      </w:pPr>
    </w:p>
    <w:p w14:paraId="0DF4EFFA" w14:textId="513E6A52" w:rsidR="00581076" w:rsidRDefault="008B2D97" w:rsidP="009522FD">
      <w:pPr>
        <w:pStyle w:val="NoSpacing"/>
        <w:ind w:right="4"/>
        <w:rPr>
          <w:i/>
          <w:iCs/>
          <w:color w:val="595959" w:themeColor="text1" w:themeTint="A6"/>
        </w:rPr>
      </w:pPr>
      <w:r>
        <w:rPr>
          <w:i/>
          <w:color w:val="595959" w:themeColor="text1" w:themeTint="A6"/>
        </w:rPr>
        <w:t>[</w:t>
      </w:r>
      <w:r w:rsidR="00BD7A2C">
        <w:rPr>
          <w:i/>
          <w:color w:val="595959" w:themeColor="text1" w:themeTint="A6"/>
        </w:rPr>
        <w:t>Avis De Non-Responsabilité</w:t>
      </w:r>
    </w:p>
    <w:p w14:paraId="0F3A776F" w14:textId="0B49D79C" w:rsidR="00581076" w:rsidRPr="008B2D97" w:rsidRDefault="00581076" w:rsidP="009522FD">
      <w:pPr>
        <w:pStyle w:val="NoSpacing"/>
        <w:ind w:right="4"/>
        <w:rPr>
          <w:rStyle w:val="SubtleEmphasis"/>
          <w:iCs w:val="0"/>
          <w:color w:val="7F7F7F" w:themeColor="text1" w:themeTint="80"/>
        </w:rPr>
      </w:pPr>
      <w:r w:rsidRPr="008B2D97">
        <w:rPr>
          <w:iCs/>
          <w:color w:val="595959" w:themeColor="text1" w:themeTint="A6"/>
        </w:rPr>
        <w:t>Ce document est à titre informatif seulement. L’information contenue dans ce document est destinée à servir de ressource éducative et de guide pour le module d’apprentissage en ligne de CyberSécuritaire Canada relatif à l’authentification robuste de l’utilisateur. Se fier aux renseignements contenus dans ce document ne garantit pas la réussite de la certification.</w:t>
      </w:r>
      <w:r w:rsidRPr="008B2D97">
        <w:rPr>
          <w:iCs/>
        </w:rPr>
        <w:br w:type="page"/>
      </w:r>
    </w:p>
    <w:p w14:paraId="75B5DE3D" w14:textId="77777777" w:rsidR="008260A3" w:rsidRPr="00A15E10" w:rsidRDefault="008260A3" w:rsidP="009522FD">
      <w:pPr>
        <w:pStyle w:val="NoSpacing"/>
        <w:ind w:right="4"/>
        <w:rPr>
          <w:i/>
          <w:iCs/>
          <w:color w:val="7F7F7F" w:themeColor="text1" w:themeTint="80"/>
          <w:sz w:val="22"/>
          <w:szCs w:val="22"/>
          <w:lang w:eastAsia="ko-KR"/>
        </w:rPr>
      </w:pPr>
    </w:p>
    <w:p w14:paraId="5AE97A4B" w14:textId="5A8F165F" w:rsidR="008260A3" w:rsidRDefault="008260A3" w:rsidP="009522FD">
      <w:pPr>
        <w:pStyle w:val="Heading1"/>
      </w:pPr>
      <w:bookmarkStart w:id="0" w:name="_Hlk72313160"/>
      <w:r>
        <w:t>Historique des révisions</w:t>
      </w:r>
    </w:p>
    <w:p w14:paraId="21ABC848" w14:textId="22D48680" w:rsidR="008260A3" w:rsidRDefault="00717EBF" w:rsidP="009522FD">
      <w:r w:rsidRPr="008B2D97">
        <w:t>La politique d’authentification robuste des utilisateurs a été modifiée comme suit</w:t>
      </w:r>
      <w:r w:rsidR="009522FD">
        <w:t> :</w:t>
      </w:r>
    </w:p>
    <w:tbl>
      <w:tblPr>
        <w:tblStyle w:val="ListTable7Colorful"/>
        <w:tblW w:w="0" w:type="auto"/>
        <w:tblLook w:val="04A0" w:firstRow="1" w:lastRow="0" w:firstColumn="1" w:lastColumn="0" w:noHBand="0" w:noVBand="1"/>
      </w:tblPr>
      <w:tblGrid>
        <w:gridCol w:w="1843"/>
        <w:gridCol w:w="1674"/>
        <w:gridCol w:w="3553"/>
        <w:gridCol w:w="2290"/>
      </w:tblGrid>
      <w:tr w:rsidR="008260A3" w:rsidRPr="00BC3C41" w14:paraId="3E3F9107" w14:textId="77777777" w:rsidTr="00A15E10">
        <w:trPr>
          <w:cnfStyle w:val="100000000000" w:firstRow="1" w:lastRow="0" w:firstColumn="0" w:lastColumn="0" w:oddVBand="0" w:evenVBand="0" w:oddHBand="0" w:evenHBand="0" w:firstRowFirstColumn="0" w:firstRowLastColumn="0" w:lastRowFirstColumn="0" w:lastRowLastColumn="0"/>
          <w:trHeight w:val="267"/>
        </w:trPr>
        <w:tc>
          <w:tcPr>
            <w:cnfStyle w:val="001000000100" w:firstRow="0" w:lastRow="0" w:firstColumn="1" w:lastColumn="0" w:oddVBand="0" w:evenVBand="0" w:oddHBand="0" w:evenHBand="0" w:firstRowFirstColumn="1" w:firstRowLastColumn="0" w:lastRowFirstColumn="0" w:lastRowLastColumn="0"/>
            <w:tcW w:w="1745" w:type="dxa"/>
          </w:tcPr>
          <w:p w14:paraId="562F3D02" w14:textId="77777777" w:rsidR="008260A3" w:rsidRPr="00BD7A2C" w:rsidRDefault="008260A3" w:rsidP="009522FD">
            <w:pPr>
              <w:rPr>
                <w:rFonts w:cstheme="minorHAnsi"/>
                <w:i w:val="0"/>
                <w:iCs w:val="0"/>
              </w:rPr>
            </w:pPr>
            <w:r w:rsidRPr="00BD7A2C">
              <w:rPr>
                <w:i w:val="0"/>
                <w:iCs w:val="0"/>
              </w:rPr>
              <w:t>Date</w:t>
            </w:r>
          </w:p>
        </w:tc>
        <w:tc>
          <w:tcPr>
            <w:tcW w:w="1689" w:type="dxa"/>
          </w:tcPr>
          <w:p w14:paraId="6D44612C" w14:textId="77777777" w:rsidR="008260A3" w:rsidRPr="00BD7A2C" w:rsidRDefault="008260A3" w:rsidP="009522FD">
            <w:pPr>
              <w:cnfStyle w:val="100000000000" w:firstRow="1" w:lastRow="0" w:firstColumn="0" w:lastColumn="0" w:oddVBand="0" w:evenVBand="0" w:oddHBand="0" w:evenHBand="0" w:firstRowFirstColumn="0" w:firstRowLastColumn="0" w:lastRowFirstColumn="0" w:lastRowLastColumn="0"/>
              <w:rPr>
                <w:rFonts w:cstheme="minorHAnsi"/>
                <w:i w:val="0"/>
                <w:iCs w:val="0"/>
              </w:rPr>
            </w:pPr>
            <w:r w:rsidRPr="00BD7A2C">
              <w:rPr>
                <w:i w:val="0"/>
                <w:iCs w:val="0"/>
              </w:rPr>
              <w:t>Version</w:t>
            </w:r>
          </w:p>
        </w:tc>
        <w:tc>
          <w:tcPr>
            <w:tcW w:w="3599" w:type="dxa"/>
          </w:tcPr>
          <w:p w14:paraId="7350C0F4" w14:textId="77777777" w:rsidR="008260A3" w:rsidRPr="00BD7A2C" w:rsidRDefault="008260A3" w:rsidP="009522FD">
            <w:pPr>
              <w:cnfStyle w:val="100000000000" w:firstRow="1" w:lastRow="0" w:firstColumn="0" w:lastColumn="0" w:oddVBand="0" w:evenVBand="0" w:oddHBand="0" w:evenHBand="0" w:firstRowFirstColumn="0" w:firstRowLastColumn="0" w:lastRowFirstColumn="0" w:lastRowLastColumn="0"/>
              <w:rPr>
                <w:rFonts w:cstheme="minorHAnsi"/>
                <w:i w:val="0"/>
                <w:iCs w:val="0"/>
              </w:rPr>
            </w:pPr>
            <w:r w:rsidRPr="00BD7A2C">
              <w:rPr>
                <w:i w:val="0"/>
                <w:iCs w:val="0"/>
              </w:rPr>
              <w:t>Modification</w:t>
            </w:r>
          </w:p>
        </w:tc>
        <w:tc>
          <w:tcPr>
            <w:tcW w:w="2317" w:type="dxa"/>
          </w:tcPr>
          <w:p w14:paraId="7C074719" w14:textId="77777777" w:rsidR="008260A3" w:rsidRPr="00BD7A2C" w:rsidRDefault="008260A3" w:rsidP="009522FD">
            <w:pPr>
              <w:cnfStyle w:val="100000000000" w:firstRow="1" w:lastRow="0" w:firstColumn="0" w:lastColumn="0" w:oddVBand="0" w:evenVBand="0" w:oddHBand="0" w:evenHBand="0" w:firstRowFirstColumn="0" w:firstRowLastColumn="0" w:lastRowFirstColumn="0" w:lastRowLastColumn="0"/>
              <w:rPr>
                <w:rFonts w:cstheme="minorHAnsi"/>
                <w:i w:val="0"/>
                <w:iCs w:val="0"/>
              </w:rPr>
            </w:pPr>
            <w:r w:rsidRPr="00BD7A2C">
              <w:rPr>
                <w:i w:val="0"/>
                <w:iCs w:val="0"/>
              </w:rPr>
              <w:t>Modifier</w:t>
            </w:r>
          </w:p>
        </w:tc>
      </w:tr>
      <w:tr w:rsidR="008260A3" w:rsidRPr="00BC3C41" w14:paraId="28F1D368" w14:textId="77777777" w:rsidTr="00A15E1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AB98A1" w14:textId="3A762D39" w:rsidR="008260A3" w:rsidRPr="00BD7A2C" w:rsidRDefault="008260A3" w:rsidP="009522FD">
            <w:pPr>
              <w:rPr>
                <w:rFonts w:cstheme="minorHAnsi"/>
                <w:b/>
                <w:i w:val="0"/>
                <w:iCs w:val="0"/>
              </w:rPr>
            </w:pPr>
            <w:r w:rsidRPr="00BD7A2C">
              <w:rPr>
                <w:i w:val="0"/>
                <w:iCs w:val="0"/>
              </w:rPr>
              <w:t>1</w:t>
            </w:r>
            <w:r w:rsidRPr="00BD7A2C">
              <w:rPr>
                <w:i w:val="0"/>
                <w:iCs w:val="0"/>
                <w:vertAlign w:val="superscript"/>
              </w:rPr>
              <w:t>er</w:t>
            </w:r>
            <w:r w:rsidR="009522FD" w:rsidRPr="00BD7A2C">
              <w:rPr>
                <w:i w:val="0"/>
                <w:iCs w:val="0"/>
              </w:rPr>
              <w:t> </w:t>
            </w:r>
            <w:r w:rsidRPr="00BD7A2C">
              <w:rPr>
                <w:i w:val="0"/>
                <w:iCs w:val="0"/>
              </w:rPr>
              <w:t>janvier</w:t>
            </w:r>
            <w:r w:rsidR="009522FD" w:rsidRPr="00BD7A2C">
              <w:rPr>
                <w:i w:val="0"/>
                <w:iCs w:val="0"/>
              </w:rPr>
              <w:t> </w:t>
            </w:r>
            <w:r w:rsidRPr="00BD7A2C">
              <w:rPr>
                <w:i w:val="0"/>
                <w:iCs w:val="0"/>
              </w:rPr>
              <w:t>2021</w:t>
            </w:r>
          </w:p>
        </w:tc>
        <w:tc>
          <w:tcPr>
            <w:tcW w:w="1689" w:type="dxa"/>
          </w:tcPr>
          <w:p w14:paraId="7D0B1F38" w14:textId="77777777" w:rsidR="008260A3" w:rsidRPr="00A15E10" w:rsidRDefault="008260A3" w:rsidP="009522FD">
            <w:pPr>
              <w:cnfStyle w:val="000000100000" w:firstRow="0" w:lastRow="0" w:firstColumn="0" w:lastColumn="0" w:oddVBand="0" w:evenVBand="0" w:oddHBand="1" w:evenHBand="0" w:firstRowFirstColumn="0" w:firstRowLastColumn="0" w:lastRowFirstColumn="0" w:lastRowLastColumn="0"/>
              <w:rPr>
                <w:rFonts w:cstheme="minorHAnsi"/>
              </w:rPr>
            </w:pPr>
            <w:r>
              <w:t>1.0</w:t>
            </w:r>
          </w:p>
        </w:tc>
        <w:tc>
          <w:tcPr>
            <w:tcW w:w="3599" w:type="dxa"/>
          </w:tcPr>
          <w:p w14:paraId="2EB9932B" w14:textId="4163BB02" w:rsidR="008260A3" w:rsidRPr="00A15E10" w:rsidRDefault="002603E6" w:rsidP="009522FD">
            <w:pPr>
              <w:cnfStyle w:val="000000100000" w:firstRow="0" w:lastRow="0" w:firstColumn="0" w:lastColumn="0" w:oddVBand="0" w:evenVBand="0" w:oddHBand="1" w:evenHBand="0" w:firstRowFirstColumn="0" w:firstRowLastColumn="0" w:lastRowFirstColumn="0" w:lastRowLastColumn="0"/>
              <w:rPr>
                <w:rFonts w:cstheme="minorHAnsi"/>
              </w:rPr>
            </w:pPr>
            <w:r>
              <w:t>Politique créée</w:t>
            </w:r>
          </w:p>
        </w:tc>
        <w:tc>
          <w:tcPr>
            <w:tcW w:w="2317" w:type="dxa"/>
          </w:tcPr>
          <w:p w14:paraId="204F9AC9" w14:textId="77777777" w:rsidR="008260A3" w:rsidRPr="00A15E10" w:rsidRDefault="008260A3" w:rsidP="009522FD">
            <w:pPr>
              <w:cnfStyle w:val="000000100000" w:firstRow="0" w:lastRow="0" w:firstColumn="0" w:lastColumn="0" w:oddVBand="0" w:evenVBand="0" w:oddHBand="1" w:evenHBand="0" w:firstRowFirstColumn="0" w:firstRowLastColumn="0" w:lastRowFirstColumn="0" w:lastRowLastColumn="0"/>
              <w:rPr>
                <w:rFonts w:cstheme="minorHAnsi"/>
              </w:rPr>
            </w:pPr>
            <w:r>
              <w:t>Dylan Smith</w:t>
            </w:r>
          </w:p>
        </w:tc>
      </w:tr>
      <w:tr w:rsidR="008260A3" w:rsidRPr="00BC3C41" w14:paraId="664C251C" w14:textId="77777777" w:rsidTr="00A15E10">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60481412" w14:textId="77777777" w:rsidR="008260A3" w:rsidRPr="00BD7A2C" w:rsidRDefault="008260A3" w:rsidP="009522FD">
            <w:pPr>
              <w:rPr>
                <w:rFonts w:cstheme="minorHAnsi"/>
                <w:b/>
                <w:i w:val="0"/>
                <w:iCs w:val="0"/>
              </w:rPr>
            </w:pPr>
          </w:p>
        </w:tc>
        <w:tc>
          <w:tcPr>
            <w:tcW w:w="1689" w:type="dxa"/>
          </w:tcPr>
          <w:p w14:paraId="4836E7D5" w14:textId="77777777" w:rsidR="008260A3" w:rsidRDefault="008260A3" w:rsidP="009522FD">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7D68A26D" w14:textId="77777777" w:rsidR="008260A3" w:rsidRDefault="008260A3" w:rsidP="009522FD">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322C3DD0" w14:textId="77777777" w:rsidR="008260A3" w:rsidRDefault="008260A3" w:rsidP="009522FD">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237025F7" w14:textId="77777777" w:rsidTr="00A15E1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12388721" w14:textId="77777777" w:rsidR="008260A3" w:rsidRPr="00BC3C41" w:rsidRDefault="008260A3" w:rsidP="009522FD">
            <w:pPr>
              <w:rPr>
                <w:rFonts w:cstheme="minorHAnsi"/>
                <w:b/>
              </w:rPr>
            </w:pPr>
          </w:p>
        </w:tc>
        <w:tc>
          <w:tcPr>
            <w:tcW w:w="1689" w:type="dxa"/>
          </w:tcPr>
          <w:p w14:paraId="1DA4BC4E" w14:textId="77777777" w:rsidR="008260A3" w:rsidRDefault="008260A3" w:rsidP="009522FD">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53D8C278" w14:textId="77777777" w:rsidR="008260A3" w:rsidRDefault="008260A3" w:rsidP="009522FD">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3DA95008" w14:textId="77777777" w:rsidR="008260A3" w:rsidRDefault="008260A3" w:rsidP="009522FD">
            <w:pPr>
              <w:cnfStyle w:val="000000100000" w:firstRow="0" w:lastRow="0" w:firstColumn="0" w:lastColumn="0" w:oddVBand="0" w:evenVBand="0" w:oddHBand="1" w:evenHBand="0" w:firstRowFirstColumn="0" w:firstRowLastColumn="0" w:lastRowFirstColumn="0" w:lastRowLastColumn="0"/>
              <w:rPr>
                <w:rFonts w:cstheme="minorHAnsi"/>
              </w:rPr>
            </w:pPr>
          </w:p>
        </w:tc>
      </w:tr>
      <w:tr w:rsidR="008260A3" w:rsidRPr="00BC3C41" w14:paraId="5336FB52" w14:textId="77777777" w:rsidTr="00A15E10">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06D2D27" w14:textId="77777777" w:rsidR="008260A3" w:rsidRPr="00BC3C41" w:rsidRDefault="008260A3" w:rsidP="009522FD">
            <w:pPr>
              <w:rPr>
                <w:rFonts w:cstheme="minorHAnsi"/>
                <w:b/>
              </w:rPr>
            </w:pPr>
          </w:p>
        </w:tc>
        <w:tc>
          <w:tcPr>
            <w:tcW w:w="1689" w:type="dxa"/>
          </w:tcPr>
          <w:p w14:paraId="176A0265" w14:textId="77777777" w:rsidR="008260A3" w:rsidRDefault="008260A3" w:rsidP="009522FD">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58EA8C45" w14:textId="77777777" w:rsidR="008260A3" w:rsidRDefault="008260A3" w:rsidP="009522FD">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39141A05" w14:textId="77777777" w:rsidR="008260A3" w:rsidRDefault="008260A3" w:rsidP="009522FD">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2F428FD3" w14:textId="77777777" w:rsidTr="00A15E1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7F5459E5" w14:textId="77777777" w:rsidR="008260A3" w:rsidRPr="00BC3C41" w:rsidRDefault="008260A3" w:rsidP="009522FD">
            <w:pPr>
              <w:rPr>
                <w:rFonts w:cstheme="minorHAnsi"/>
                <w:b/>
              </w:rPr>
            </w:pPr>
          </w:p>
        </w:tc>
        <w:tc>
          <w:tcPr>
            <w:tcW w:w="1689" w:type="dxa"/>
          </w:tcPr>
          <w:p w14:paraId="62098F9D" w14:textId="77777777" w:rsidR="008260A3" w:rsidRDefault="008260A3" w:rsidP="009522FD">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23D769C1" w14:textId="77777777" w:rsidR="008260A3" w:rsidRDefault="008260A3" w:rsidP="009522FD">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1A00E449" w14:textId="77777777" w:rsidR="008260A3" w:rsidRDefault="008260A3" w:rsidP="009522FD">
            <w:pPr>
              <w:cnfStyle w:val="000000100000" w:firstRow="0" w:lastRow="0" w:firstColumn="0" w:lastColumn="0" w:oddVBand="0" w:evenVBand="0" w:oddHBand="1" w:evenHBand="0" w:firstRowFirstColumn="0" w:firstRowLastColumn="0" w:lastRowFirstColumn="0" w:lastRowLastColumn="0"/>
              <w:rPr>
                <w:rFonts w:cstheme="minorHAnsi"/>
              </w:rPr>
            </w:pPr>
          </w:p>
        </w:tc>
      </w:tr>
      <w:tr w:rsidR="008260A3" w:rsidRPr="00BC3C41" w14:paraId="2B5D77D5" w14:textId="77777777" w:rsidTr="00A15E10">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945A2F" w14:textId="77777777" w:rsidR="008260A3" w:rsidRPr="00BC3C41" w:rsidRDefault="008260A3" w:rsidP="009522FD">
            <w:pPr>
              <w:rPr>
                <w:rFonts w:cstheme="minorHAnsi"/>
                <w:b/>
              </w:rPr>
            </w:pPr>
          </w:p>
        </w:tc>
        <w:tc>
          <w:tcPr>
            <w:tcW w:w="1689" w:type="dxa"/>
          </w:tcPr>
          <w:p w14:paraId="01549053" w14:textId="77777777" w:rsidR="008260A3" w:rsidRDefault="008260A3" w:rsidP="009522FD">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24316C10" w14:textId="77777777" w:rsidR="008260A3" w:rsidRDefault="008260A3" w:rsidP="009522FD">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170B663A" w14:textId="77777777" w:rsidR="008260A3" w:rsidRDefault="008260A3" w:rsidP="009522FD">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432C0893" w14:textId="77777777" w:rsidTr="00A15E1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3BCADD6A" w14:textId="77777777" w:rsidR="008260A3" w:rsidRPr="00BC3C41" w:rsidRDefault="008260A3" w:rsidP="009522FD">
            <w:pPr>
              <w:rPr>
                <w:rFonts w:cstheme="minorHAnsi"/>
                <w:b/>
              </w:rPr>
            </w:pPr>
          </w:p>
        </w:tc>
        <w:tc>
          <w:tcPr>
            <w:tcW w:w="1689" w:type="dxa"/>
          </w:tcPr>
          <w:p w14:paraId="709D0216" w14:textId="77777777" w:rsidR="008260A3" w:rsidRDefault="008260A3" w:rsidP="009522FD">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5265EE97" w14:textId="77777777" w:rsidR="008260A3" w:rsidRDefault="008260A3" w:rsidP="009522FD">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2B7F0693" w14:textId="77777777" w:rsidR="008260A3" w:rsidRDefault="008260A3" w:rsidP="009522FD">
            <w:pPr>
              <w:cnfStyle w:val="000000100000" w:firstRow="0" w:lastRow="0" w:firstColumn="0" w:lastColumn="0" w:oddVBand="0" w:evenVBand="0" w:oddHBand="1" w:evenHBand="0" w:firstRowFirstColumn="0" w:firstRowLastColumn="0" w:lastRowFirstColumn="0" w:lastRowLastColumn="0"/>
              <w:rPr>
                <w:rFonts w:cstheme="minorHAnsi"/>
              </w:rPr>
            </w:pPr>
          </w:p>
        </w:tc>
      </w:tr>
      <w:bookmarkEnd w:id="0"/>
    </w:tbl>
    <w:p w14:paraId="7E025DEB" w14:textId="77777777" w:rsidR="00B13774" w:rsidRDefault="00B13774" w:rsidP="009522FD">
      <w:pPr>
        <w:spacing w:after="0"/>
        <w:ind w:left="2880" w:hanging="2880"/>
      </w:pPr>
    </w:p>
    <w:p w14:paraId="3737C36C" w14:textId="79CBE8AF" w:rsidR="00B13774" w:rsidRDefault="00B13774" w:rsidP="009522FD">
      <w:pPr>
        <w:pStyle w:val="Heading1"/>
      </w:pPr>
      <w:r>
        <w:t>Définitions</w:t>
      </w:r>
    </w:p>
    <w:tbl>
      <w:tblPr>
        <w:tblStyle w:val="TableGrid"/>
        <w:tblW w:w="0" w:type="auto"/>
        <w:tblLook w:val="04A0" w:firstRow="1" w:lastRow="0" w:firstColumn="1" w:lastColumn="0" w:noHBand="0" w:noVBand="1"/>
      </w:tblPr>
      <w:tblGrid>
        <w:gridCol w:w="2830"/>
        <w:gridCol w:w="6520"/>
      </w:tblGrid>
      <w:tr w:rsidR="00B13774" w14:paraId="5DC90E0D" w14:textId="77777777" w:rsidTr="005B33E3">
        <w:tc>
          <w:tcPr>
            <w:tcW w:w="2830" w:type="dxa"/>
          </w:tcPr>
          <w:p w14:paraId="108C4E22" w14:textId="38ADED3B" w:rsidR="00B13774" w:rsidRDefault="00306DA5" w:rsidP="009522FD">
            <w:r>
              <w:t>Authentification à deux facteurs</w:t>
            </w:r>
          </w:p>
        </w:tc>
        <w:tc>
          <w:tcPr>
            <w:tcW w:w="6520" w:type="dxa"/>
          </w:tcPr>
          <w:p w14:paraId="719E37A1" w14:textId="56BE0F19" w:rsidR="00B13774" w:rsidRDefault="00D4166A" w:rsidP="009522FD">
            <w:r>
              <w:t>Authentification utilisée pour confirmer l’identité d’un utilisateur en validant une combinaison de deux facteurs différents</w:t>
            </w:r>
            <w:r w:rsidR="001E6DCF">
              <w:t>.</w:t>
            </w:r>
          </w:p>
        </w:tc>
      </w:tr>
      <w:tr w:rsidR="00B13774" w14:paraId="7DA5730A" w14:textId="77777777" w:rsidTr="005B33E3">
        <w:tc>
          <w:tcPr>
            <w:tcW w:w="2830" w:type="dxa"/>
          </w:tcPr>
          <w:p w14:paraId="052CFE97" w14:textId="763D2EEA" w:rsidR="00B13774" w:rsidRDefault="00216D1A" w:rsidP="009522FD">
            <w:r>
              <w:t>Authentification de l’utilisateur</w:t>
            </w:r>
          </w:p>
        </w:tc>
        <w:tc>
          <w:tcPr>
            <w:tcW w:w="6520" w:type="dxa"/>
          </w:tcPr>
          <w:p w14:paraId="2A2F8F9E" w14:textId="14539D8D" w:rsidR="00B13774" w:rsidRDefault="00EB1F65" w:rsidP="009522FD">
            <w:r>
              <w:t>Un processus utilisé pour confirmer l’identité d’une personne qui tente d’accéder à un système ou un dispositif.</w:t>
            </w:r>
          </w:p>
        </w:tc>
      </w:tr>
      <w:tr w:rsidR="00B13774" w14:paraId="7196F311" w14:textId="77777777" w:rsidTr="005B33E3">
        <w:tc>
          <w:tcPr>
            <w:tcW w:w="2830" w:type="dxa"/>
          </w:tcPr>
          <w:p w14:paraId="4F3B543F" w14:textId="52BF9064" w:rsidR="00B13774" w:rsidRDefault="00F16739" w:rsidP="009522FD">
            <w:r>
              <w:t>Autorisation de l’utilisateur</w:t>
            </w:r>
          </w:p>
        </w:tc>
        <w:tc>
          <w:tcPr>
            <w:tcW w:w="6520" w:type="dxa"/>
          </w:tcPr>
          <w:p w14:paraId="321BDA6A" w14:textId="1DE487A2" w:rsidR="00B13774" w:rsidRDefault="00BB71CE" w:rsidP="009522FD">
            <w:r>
              <w:t>L’autorisation de l’utilisateur est un processus utilisé pour assigner des autorisations afin de limiter l’accès à ceux qui en ont besoin.</w:t>
            </w:r>
          </w:p>
        </w:tc>
      </w:tr>
      <w:tr w:rsidR="00B13774" w14:paraId="677B07FB" w14:textId="77777777" w:rsidTr="005B33E3">
        <w:tc>
          <w:tcPr>
            <w:tcW w:w="2830" w:type="dxa"/>
          </w:tcPr>
          <w:p w14:paraId="46F7B5DB" w14:textId="4D0C139F" w:rsidR="00B13774" w:rsidRDefault="005B33E3" w:rsidP="009522FD">
            <w:r>
              <w:t>Gestionnaire de mots de passe</w:t>
            </w:r>
          </w:p>
        </w:tc>
        <w:tc>
          <w:tcPr>
            <w:tcW w:w="6520" w:type="dxa"/>
          </w:tcPr>
          <w:p w14:paraId="280874F1" w14:textId="545607B9" w:rsidR="00B13774" w:rsidRDefault="00244EBD" w:rsidP="009522FD">
            <w:r>
              <w:t>Une application logicielle qui crée, stocke et garde en mémoire les mots de passe</w:t>
            </w:r>
            <w:r w:rsidR="001E6DCF">
              <w:t>.</w:t>
            </w:r>
          </w:p>
        </w:tc>
      </w:tr>
    </w:tbl>
    <w:p w14:paraId="2BD1E2C9" w14:textId="7CE0FAE7" w:rsidR="00447D85" w:rsidRDefault="002603E6" w:rsidP="009522FD">
      <w:pPr>
        <w:pStyle w:val="Heading1"/>
      </w:pPr>
      <w:r>
        <w:t>Portée</w:t>
      </w:r>
    </w:p>
    <w:p w14:paraId="3D740F72" w14:textId="77777777" w:rsidR="009522FD" w:rsidRDefault="006B658E" w:rsidP="009522FD">
      <w:pPr>
        <w:rPr>
          <w:rFonts w:ascii="Calibri" w:hAnsi="Calibri"/>
        </w:rPr>
      </w:pPr>
      <w:bookmarkStart w:id="1" w:name="_Toc75784168"/>
      <w:bookmarkStart w:id="2" w:name="_Toc75784420"/>
      <w:bookmarkStart w:id="3" w:name="_Toc76110554"/>
      <w:bookmarkStart w:id="4" w:name="_Toc76549037"/>
      <w:bookmarkStart w:id="5" w:name="_Toc76979950"/>
      <w:bookmarkStart w:id="6" w:name="_Toc76980076"/>
      <w:r>
        <w:rPr>
          <w:rFonts w:ascii="Calibri" w:hAnsi="Calibri"/>
        </w:rPr>
        <w:t>Cette politique s’applique à l’utilisation de l’authentification à deux facteurs et des mots de passe chez</w:t>
      </w:r>
      <w:r>
        <w:rPr>
          <w:rFonts w:ascii="Calibri" w:hAnsi="Calibri"/>
          <w:i/>
        </w:rPr>
        <w:t xml:space="preserve"> </w:t>
      </w:r>
      <w:r w:rsidRPr="008B2D97">
        <w:rPr>
          <w:rFonts w:ascii="Calibri" w:hAnsi="Calibri"/>
          <w:iCs/>
        </w:rPr>
        <w:t>Envision Architects</w:t>
      </w:r>
      <w:r>
        <w:t xml:space="preserve">. Elle </w:t>
      </w:r>
      <w:r>
        <w:rPr>
          <w:rFonts w:ascii="Calibri" w:hAnsi="Calibri"/>
        </w:rPr>
        <w:t>s’applique à tous les employés, entrepreneurs et affiliés</w:t>
      </w:r>
      <w:r w:rsidRPr="008B2D97">
        <w:rPr>
          <w:rFonts w:ascii="Calibri" w:hAnsi="Calibri"/>
        </w:rPr>
        <w:t xml:space="preserve"> d’Envision Architects</w:t>
      </w:r>
      <w:r>
        <w:rPr>
          <w:rFonts w:ascii="Calibri" w:hAnsi="Calibri"/>
        </w:rPr>
        <w:t xml:space="preserve"> et régit l’utilisation acceptable des mots de passe sur tous les systèmes qui se connectent aux réseaux de l’entreprise ou qui accèdent à ses données ou les stockent.</w:t>
      </w:r>
    </w:p>
    <w:p w14:paraId="5F98B3E2" w14:textId="7BF6930B" w:rsidR="001E769F" w:rsidRDefault="00AD2F1C" w:rsidP="009522FD">
      <w:pPr>
        <w:pStyle w:val="Heading1"/>
      </w:pPr>
      <w:bookmarkStart w:id="7" w:name="_Toc75784169"/>
      <w:bookmarkStart w:id="8" w:name="_Toc75784421"/>
      <w:bookmarkStart w:id="9" w:name="_Toc76110555"/>
      <w:bookmarkStart w:id="10" w:name="_Toc76549038"/>
      <w:bookmarkStart w:id="11" w:name="_Toc76979951"/>
      <w:bookmarkStart w:id="12" w:name="_Toc76980077"/>
      <w:bookmarkEnd w:id="1"/>
      <w:bookmarkEnd w:id="2"/>
      <w:bookmarkEnd w:id="3"/>
      <w:bookmarkEnd w:id="4"/>
      <w:bookmarkEnd w:id="5"/>
      <w:bookmarkEnd w:id="6"/>
      <w:r>
        <w:t>Authentification à deux facteurs</w:t>
      </w:r>
    </w:p>
    <w:p w14:paraId="0801D983" w14:textId="13F78915" w:rsidR="009522FD" w:rsidRDefault="001E769F" w:rsidP="009522FD">
      <w:pPr>
        <w:shd w:val="clear" w:color="auto" w:fill="FFFFFF"/>
        <w:spacing w:after="0" w:line="276" w:lineRule="auto"/>
        <w:rPr>
          <w:rFonts w:ascii="Calibri" w:hAnsi="Calibri"/>
          <w:color w:val="424242"/>
        </w:rPr>
      </w:pPr>
      <w:r>
        <w:rPr>
          <w:rFonts w:ascii="Calibri" w:hAnsi="Calibri"/>
          <w:color w:val="424242"/>
        </w:rPr>
        <w:t>L’authentification à deux facteurs sera utilisée pour les systèmes suivants</w:t>
      </w:r>
      <w:r w:rsidR="009522FD">
        <w:rPr>
          <w:rFonts w:ascii="Calibri" w:hAnsi="Calibri"/>
          <w:color w:val="424242"/>
        </w:rPr>
        <w:t> :</w:t>
      </w:r>
    </w:p>
    <w:p w14:paraId="4F68279B" w14:textId="77777777" w:rsidR="009522FD" w:rsidRDefault="001E769F" w:rsidP="009522FD">
      <w:pPr>
        <w:pStyle w:val="NoSpacing"/>
        <w:numPr>
          <w:ilvl w:val="0"/>
          <w:numId w:val="11"/>
        </w:numPr>
        <w:spacing w:before="0"/>
        <w:rPr>
          <w:sz w:val="22"/>
        </w:rPr>
      </w:pPr>
      <w:r>
        <w:rPr>
          <w:sz w:val="22"/>
        </w:rPr>
        <w:t>Comptes financiers</w:t>
      </w:r>
    </w:p>
    <w:p w14:paraId="2B3589C5" w14:textId="77777777" w:rsidR="009522FD" w:rsidRDefault="001E769F" w:rsidP="009522FD">
      <w:pPr>
        <w:pStyle w:val="NoSpacing"/>
        <w:numPr>
          <w:ilvl w:val="0"/>
          <w:numId w:val="11"/>
        </w:numPr>
        <w:spacing w:before="0"/>
        <w:rPr>
          <w:sz w:val="22"/>
        </w:rPr>
      </w:pPr>
      <w:r>
        <w:rPr>
          <w:sz w:val="22"/>
        </w:rPr>
        <w:t>Administrateurs des systèmes</w:t>
      </w:r>
    </w:p>
    <w:p w14:paraId="52AFCAD2" w14:textId="69C44FC8" w:rsidR="001E769F" w:rsidRPr="001E769F" w:rsidRDefault="001E769F" w:rsidP="009522FD">
      <w:pPr>
        <w:pStyle w:val="NoSpacing"/>
        <w:numPr>
          <w:ilvl w:val="0"/>
          <w:numId w:val="11"/>
        </w:numPr>
        <w:spacing w:before="0"/>
        <w:rPr>
          <w:rFonts w:eastAsia="Calibri"/>
          <w:sz w:val="22"/>
          <w:szCs w:val="22"/>
        </w:rPr>
      </w:pPr>
      <w:r>
        <w:rPr>
          <w:sz w:val="22"/>
        </w:rPr>
        <w:t>Administrateurs de l’infonuage</w:t>
      </w:r>
    </w:p>
    <w:p w14:paraId="68D7B45B" w14:textId="77777777" w:rsidR="009522FD" w:rsidRDefault="001E769F" w:rsidP="009522FD">
      <w:pPr>
        <w:pStyle w:val="NoSpacing"/>
        <w:numPr>
          <w:ilvl w:val="0"/>
          <w:numId w:val="11"/>
        </w:numPr>
        <w:spacing w:before="0"/>
        <w:rPr>
          <w:sz w:val="22"/>
        </w:rPr>
      </w:pPr>
      <w:r>
        <w:rPr>
          <w:sz w:val="22"/>
        </w:rPr>
        <w:t>Cadres supérieurs</w:t>
      </w:r>
    </w:p>
    <w:p w14:paraId="0C13B291" w14:textId="3FF30370" w:rsidR="001E769F" w:rsidRPr="001E769F" w:rsidRDefault="001E769F" w:rsidP="009522FD">
      <w:pPr>
        <w:pStyle w:val="NoSpacing"/>
        <w:numPr>
          <w:ilvl w:val="0"/>
          <w:numId w:val="11"/>
        </w:numPr>
        <w:spacing w:before="0"/>
        <w:rPr>
          <w:rFonts w:eastAsia="Calibri"/>
          <w:sz w:val="22"/>
          <w:szCs w:val="22"/>
        </w:rPr>
      </w:pPr>
      <w:bookmarkStart w:id="13" w:name="_f93vntu6ialq"/>
      <w:bookmarkEnd w:id="13"/>
      <w:r>
        <w:rPr>
          <w:sz w:val="22"/>
        </w:rPr>
        <w:t>Tout accès à distance</w:t>
      </w:r>
    </w:p>
    <w:p w14:paraId="7006339F" w14:textId="3D3875D9" w:rsidR="00F8192C" w:rsidRDefault="00AD2F1C" w:rsidP="009522FD">
      <w:pPr>
        <w:pStyle w:val="Heading1"/>
      </w:pPr>
      <w:bookmarkStart w:id="14" w:name="_Hlk77861971"/>
      <w:r>
        <w:lastRenderedPageBreak/>
        <w:t>Création du mot de passe</w:t>
      </w:r>
    </w:p>
    <w:bookmarkEnd w:id="14"/>
    <w:p w14:paraId="38F74037" w14:textId="68D65B48" w:rsidR="00F8192C" w:rsidRPr="00C10582" w:rsidRDefault="00F8192C" w:rsidP="009522FD">
      <w:pPr>
        <w:pStyle w:val="ListParagraph"/>
        <w:keepNext/>
        <w:numPr>
          <w:ilvl w:val="0"/>
          <w:numId w:val="13"/>
        </w:numPr>
        <w:spacing w:before="100" w:after="200" w:line="276" w:lineRule="auto"/>
      </w:pPr>
      <w:r w:rsidRPr="00C10582">
        <w:t>Tous les mots de passe doivent comporter au moins 14 caractères</w:t>
      </w:r>
      <w:r w:rsidR="001E6DCF" w:rsidRPr="00C10582">
        <w:t>.</w:t>
      </w:r>
    </w:p>
    <w:p w14:paraId="48878745" w14:textId="75DDFB4A" w:rsidR="00E22F58" w:rsidRPr="00C10582" w:rsidRDefault="00E22F58" w:rsidP="009522FD">
      <w:pPr>
        <w:pStyle w:val="ListParagraph"/>
        <w:numPr>
          <w:ilvl w:val="0"/>
          <w:numId w:val="13"/>
        </w:numPr>
        <w:spacing w:before="100" w:after="200" w:line="276" w:lineRule="auto"/>
      </w:pPr>
      <w:r w:rsidRPr="00C10582">
        <w:t>Tous les mots de passe par défaut doivent être modifiés lors de l’installation d’un logiciel ou d’un dispositif</w:t>
      </w:r>
      <w:r w:rsidR="001E6DCF" w:rsidRPr="00C10582">
        <w:t>.</w:t>
      </w:r>
    </w:p>
    <w:p w14:paraId="006755BA" w14:textId="5FFE4BDA" w:rsidR="00F8192C" w:rsidRPr="00C10582" w:rsidRDefault="00F8192C" w:rsidP="009522FD">
      <w:pPr>
        <w:pStyle w:val="ListParagraph"/>
        <w:numPr>
          <w:ilvl w:val="0"/>
          <w:numId w:val="13"/>
        </w:numPr>
        <w:spacing w:before="100" w:after="200" w:line="276" w:lineRule="auto"/>
      </w:pPr>
      <w:r w:rsidRPr="00C10582">
        <w:t>Les mots de passe de l’administrateur et des autres comptes de grande valeur doivent comporter 14 caractères ou plus</w:t>
      </w:r>
      <w:r w:rsidR="001E6DCF" w:rsidRPr="00C10582">
        <w:t>.</w:t>
      </w:r>
    </w:p>
    <w:p w14:paraId="77FCD5B1" w14:textId="39B0E1B5" w:rsidR="00E93890" w:rsidRPr="00C10582" w:rsidRDefault="00E93890" w:rsidP="009522FD">
      <w:pPr>
        <w:pStyle w:val="ListParagraph"/>
        <w:numPr>
          <w:ilvl w:val="0"/>
          <w:numId w:val="13"/>
        </w:numPr>
        <w:spacing w:before="100" w:after="200" w:line="276" w:lineRule="auto"/>
      </w:pPr>
      <w:r w:rsidRPr="00C10582">
        <w:t>Les mots de passe ne doivent pas être réutilisés pour plusieurs comptes (par exemple, le compte de courriel du travail et la connexion au serveur)</w:t>
      </w:r>
      <w:r w:rsidR="001E6DCF" w:rsidRPr="00C10582">
        <w:t>.</w:t>
      </w:r>
    </w:p>
    <w:p w14:paraId="61B0CB73" w14:textId="6AC34518" w:rsidR="00717EBF" w:rsidRPr="00C10582" w:rsidRDefault="00717EBF" w:rsidP="009522FD">
      <w:pPr>
        <w:pStyle w:val="Heading1"/>
      </w:pPr>
      <w:r w:rsidRPr="00C10582">
        <w:t>Gestion des mots de passe</w:t>
      </w:r>
    </w:p>
    <w:p w14:paraId="1469D1A4" w14:textId="51CFABBA" w:rsidR="006F7D54" w:rsidRPr="00C10582" w:rsidRDefault="006F7D54" w:rsidP="009522FD">
      <w:pPr>
        <w:pStyle w:val="ListParagraph"/>
        <w:numPr>
          <w:ilvl w:val="0"/>
          <w:numId w:val="15"/>
        </w:numPr>
        <w:spacing w:before="100" w:after="200" w:line="276" w:lineRule="auto"/>
      </w:pPr>
      <w:r w:rsidRPr="00C10582">
        <w:t>Les mots de passe ne doivent être partagés en aucun cas, que ce soit en personne ou par voie électronique</w:t>
      </w:r>
      <w:r w:rsidR="001E6DCF" w:rsidRPr="00C10582">
        <w:t>.</w:t>
      </w:r>
    </w:p>
    <w:p w14:paraId="3A9C38DA" w14:textId="26FBE9A5" w:rsidR="006F7D54" w:rsidRPr="00C10582" w:rsidRDefault="006F7D54" w:rsidP="009522FD">
      <w:pPr>
        <w:pStyle w:val="ListParagraph"/>
        <w:numPr>
          <w:ilvl w:val="0"/>
          <w:numId w:val="15"/>
        </w:numPr>
        <w:spacing w:before="100" w:after="200" w:line="276" w:lineRule="auto"/>
      </w:pPr>
      <w:r w:rsidRPr="00C10582">
        <w:t>La connexion automatique pour les services liés au travail doit être désactivée</w:t>
      </w:r>
      <w:r w:rsidR="001E6DCF" w:rsidRPr="00C10582">
        <w:t>.</w:t>
      </w:r>
    </w:p>
    <w:p w14:paraId="163DC67C" w14:textId="293F2813" w:rsidR="006F7D54" w:rsidRPr="00C10582" w:rsidRDefault="006F7D54" w:rsidP="009522FD">
      <w:pPr>
        <w:pStyle w:val="ListParagraph"/>
        <w:numPr>
          <w:ilvl w:val="0"/>
          <w:numId w:val="15"/>
        </w:numPr>
        <w:spacing w:before="100" w:after="200" w:line="276" w:lineRule="auto"/>
      </w:pPr>
      <w:r w:rsidRPr="00C10582">
        <w:t>Tous les mots de passe, y compris les mots de passe par défaut sur les appareils, doivent être mis à jour conformément aux normes décrites dans la section Création de mots de passe</w:t>
      </w:r>
      <w:r w:rsidR="001E6DCF" w:rsidRPr="00C10582">
        <w:t>.</w:t>
      </w:r>
    </w:p>
    <w:p w14:paraId="5AF43ADE" w14:textId="6CFEA0B8" w:rsidR="006F7D54" w:rsidRPr="00C10582" w:rsidRDefault="006F7D54" w:rsidP="009522FD">
      <w:pPr>
        <w:pStyle w:val="ListParagraph"/>
        <w:numPr>
          <w:ilvl w:val="0"/>
          <w:numId w:val="15"/>
        </w:numPr>
        <w:spacing w:before="100" w:after="200" w:line="276" w:lineRule="auto"/>
      </w:pPr>
      <w:r w:rsidRPr="00C10582">
        <w:rPr>
          <w:i/>
        </w:rPr>
        <w:t xml:space="preserve">ACME </w:t>
      </w:r>
      <w:r w:rsidRPr="00C10582">
        <w:rPr>
          <w:iCs/>
        </w:rPr>
        <w:t>Password Manager</w:t>
      </w:r>
      <w:r w:rsidRPr="00C10582">
        <w:t xml:space="preserve"> est utilisé pour stocker et pour gérer les mots de passe</w:t>
      </w:r>
      <w:r w:rsidR="001E6DCF" w:rsidRPr="00C10582">
        <w:t>.</w:t>
      </w:r>
    </w:p>
    <w:p w14:paraId="66833CD9" w14:textId="1B458C4A" w:rsidR="006F7D54" w:rsidRPr="00C10582" w:rsidRDefault="006F7D54" w:rsidP="009522FD">
      <w:pPr>
        <w:pStyle w:val="ListParagraph"/>
        <w:numPr>
          <w:ilvl w:val="0"/>
          <w:numId w:val="15"/>
        </w:numPr>
        <w:spacing w:before="100" w:after="200" w:line="276" w:lineRule="auto"/>
      </w:pPr>
      <w:r w:rsidRPr="00C10582">
        <w:t>Les mots de passe écrits physiquement doivent être stockés en toute sécurité, à un endroit où personne ne peut y avoir accès</w:t>
      </w:r>
      <w:r w:rsidR="001E6DCF" w:rsidRPr="00C10582">
        <w:t>.</w:t>
      </w:r>
    </w:p>
    <w:p w14:paraId="5F4727FA" w14:textId="5623BA70" w:rsidR="006F7D54" w:rsidRPr="00C10582" w:rsidRDefault="006F7D54" w:rsidP="009522FD">
      <w:pPr>
        <w:pStyle w:val="ListParagraph"/>
        <w:numPr>
          <w:ilvl w:val="0"/>
          <w:numId w:val="15"/>
        </w:numPr>
        <w:spacing w:before="100" w:after="200" w:line="276" w:lineRule="auto"/>
      </w:pPr>
      <w:r w:rsidRPr="00C10582">
        <w:t>Le plan de sauvegarde de l’entreprise comprendra la sauvegarde et la récupération des mots de passe gérés par les gestionnaires de mots de passe</w:t>
      </w:r>
      <w:r w:rsidR="001E6DCF" w:rsidRPr="00C10582">
        <w:t>.</w:t>
      </w:r>
    </w:p>
    <w:p w14:paraId="141453AC" w14:textId="12A5D1A1" w:rsidR="004A2648" w:rsidRPr="00C10582" w:rsidRDefault="00C6432F" w:rsidP="009522FD">
      <w:pPr>
        <w:pStyle w:val="Heading1"/>
      </w:pPr>
      <w:r w:rsidRPr="00C10582">
        <w:t>Mises à jour des mots de passe</w:t>
      </w:r>
    </w:p>
    <w:p w14:paraId="40EC586A" w14:textId="77777777" w:rsidR="009522FD" w:rsidRPr="00C10582" w:rsidRDefault="004A2648" w:rsidP="009522FD">
      <w:pPr>
        <w:pStyle w:val="ListParagraph"/>
        <w:numPr>
          <w:ilvl w:val="0"/>
          <w:numId w:val="17"/>
        </w:numPr>
        <w:spacing w:before="100" w:after="200" w:line="276" w:lineRule="auto"/>
      </w:pPr>
      <w:r w:rsidRPr="00C10582">
        <w:t>Les changements de mots de passe sont exigés s’il y a des soupçons ou des preuves qu’ils ont été compromis.</w:t>
      </w:r>
    </w:p>
    <w:p w14:paraId="5FAB970E" w14:textId="33B4466F" w:rsidR="004A2648" w:rsidRPr="00C10582" w:rsidRDefault="004A2648" w:rsidP="009522FD">
      <w:pPr>
        <w:pStyle w:val="ListParagraph"/>
        <w:numPr>
          <w:ilvl w:val="0"/>
          <w:numId w:val="17"/>
        </w:numPr>
        <w:spacing w:before="100" w:after="200" w:line="276" w:lineRule="auto"/>
      </w:pPr>
      <w:r w:rsidRPr="00C10582">
        <w:t>Les utilisateurs peuvent mettre à jour leurs mots de passe quand ils le souhaitent</w:t>
      </w:r>
      <w:r w:rsidR="001E6DCF" w:rsidRPr="00C10582">
        <w:t>.</w:t>
      </w:r>
    </w:p>
    <w:bookmarkEnd w:id="7"/>
    <w:bookmarkEnd w:id="8"/>
    <w:bookmarkEnd w:id="9"/>
    <w:bookmarkEnd w:id="10"/>
    <w:bookmarkEnd w:id="11"/>
    <w:bookmarkEnd w:id="12"/>
    <w:p w14:paraId="7A2D0BC5" w14:textId="77777777" w:rsidR="009522FD" w:rsidRPr="00C10582" w:rsidRDefault="002603E6" w:rsidP="009522FD">
      <w:pPr>
        <w:pStyle w:val="Heading1"/>
      </w:pPr>
      <w:r w:rsidRPr="00C10582">
        <w:t>Application</w:t>
      </w:r>
    </w:p>
    <w:p w14:paraId="2D9CE7D9" w14:textId="3683D271" w:rsidR="00492F4A" w:rsidRDefault="00B82BBF" w:rsidP="009522FD">
      <w:pPr>
        <w:shd w:val="clear" w:color="auto" w:fill="FFFFFF"/>
        <w:rPr>
          <w:rFonts w:ascii="Calibri" w:eastAsia="Calibri" w:hAnsi="Calibri" w:cs="Calibri"/>
          <w:color w:val="424242"/>
        </w:rPr>
      </w:pPr>
      <w:r w:rsidRPr="00C10582">
        <w:rPr>
          <w:rFonts w:ascii="Calibri" w:hAnsi="Calibri"/>
          <w:color w:val="424242"/>
        </w:rPr>
        <w:t>Il incombe au chef de l’équipe des TI de mettre en œuvre les politiques décrites. Les utilisateurs sont tenus de définir et de gérer leurs mots de passe personnels et d’utiliser l’authentification à deux facteurs sur les systèmes décrits ci-dessus.</w:t>
      </w:r>
    </w:p>
    <w:sectPr w:rsidR="00492F4A" w:rsidSect="00A15E10">
      <w:headerReference w:type="even" r:id="rId9"/>
      <w:headerReference w:type="default"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E2786" w14:textId="77777777" w:rsidR="00F54FD9" w:rsidRDefault="00F54FD9" w:rsidP="00A15E10">
      <w:pPr>
        <w:spacing w:after="0" w:line="240" w:lineRule="auto"/>
      </w:pPr>
      <w:r>
        <w:separator/>
      </w:r>
    </w:p>
  </w:endnote>
  <w:endnote w:type="continuationSeparator" w:id="0">
    <w:p w14:paraId="522AC24F" w14:textId="77777777" w:rsidR="00F54FD9" w:rsidRDefault="00F54FD9" w:rsidP="00A1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7646226"/>
      <w:docPartObj>
        <w:docPartGallery w:val="Page Numbers (Bottom of Page)"/>
        <w:docPartUnique/>
      </w:docPartObj>
    </w:sdtPr>
    <w:sdtEndPr>
      <w:rPr>
        <w:noProof/>
      </w:rPr>
    </w:sdtEndPr>
    <w:sdtContent>
      <w:p w14:paraId="19EF9D27" w14:textId="1899EBCF" w:rsidR="0012562D" w:rsidRDefault="00DA5AFB" w:rsidP="0012562D">
        <w:pPr>
          <w:pStyle w:val="Footer"/>
          <w:tabs>
            <w:tab w:val="clear" w:pos="9360"/>
          </w:tabs>
          <w:ind w:right="-705"/>
          <w:jc w:val="right"/>
        </w:pPr>
        <w:r>
          <w:rPr>
            <w:noProof/>
          </w:rPr>
          <w:drawing>
            <wp:anchor distT="0" distB="0" distL="114300" distR="114300" simplePos="0" relativeHeight="251675648" behindDoc="0" locked="0" layoutInCell="1" allowOverlap="1" wp14:anchorId="0315234B" wp14:editId="317C8A22">
              <wp:simplePos x="0" y="0"/>
              <wp:positionH relativeFrom="column">
                <wp:posOffset>-832513</wp:posOffset>
              </wp:positionH>
              <wp:positionV relativeFrom="paragraph">
                <wp:posOffset>150126</wp:posOffset>
              </wp:positionV>
              <wp:extent cx="1603375" cy="645795"/>
              <wp:effectExtent l="0" t="0" r="0" b="190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645795"/>
                      </a:xfrm>
                      <a:prstGeom prst="rect">
                        <a:avLst/>
                      </a:prstGeom>
                      <a:noFill/>
                    </pic:spPr>
                  </pic:pic>
                </a:graphicData>
              </a:graphic>
            </wp:anchor>
          </w:drawing>
        </w:r>
        <w:r w:rsidR="0012562D">
          <w:fldChar w:fldCharType="begin"/>
        </w:r>
        <w:r w:rsidR="0012562D">
          <w:instrText xml:space="preserve"> PAGE   \* MERGEFORMAT </w:instrText>
        </w:r>
        <w:r w:rsidR="0012562D">
          <w:fldChar w:fldCharType="separate"/>
        </w:r>
        <w:r w:rsidR="0012562D">
          <w:t>2</w:t>
        </w:r>
        <w:r w:rsidR="0012562D">
          <w:fldChar w:fldCharType="end"/>
        </w:r>
      </w:p>
    </w:sdtContent>
  </w:sdt>
  <w:p w14:paraId="4AA13839" w14:textId="488E5D31" w:rsidR="0012562D" w:rsidRPr="00BD7A2C" w:rsidRDefault="0012562D" w:rsidP="0012562D">
    <w:pPr>
      <w:pStyle w:val="Footer"/>
      <w:tabs>
        <w:tab w:val="clear" w:pos="9360"/>
      </w:tabs>
      <w:ind w:right="-846"/>
      <w:jc w:val="right"/>
      <w:rPr>
        <w:iCs/>
      </w:rPr>
    </w:pPr>
    <w:r w:rsidRPr="00BD7A2C">
      <w:rPr>
        <w:iCs/>
      </w:rPr>
      <w:t>Politique d’authentification robuste de l’utilisateur</w:t>
    </w:r>
  </w:p>
  <w:p w14:paraId="0138F376" w14:textId="4DBE55D5" w:rsidR="00A15E10" w:rsidRPr="00A15E10" w:rsidRDefault="00A15E10" w:rsidP="00A15E10">
    <w:pPr>
      <w:pStyle w:val="Footer"/>
      <w:tabs>
        <w:tab w:val="clear" w:pos="9360"/>
      </w:tabs>
      <w:ind w:right="-846"/>
      <w:jc w:val="right"/>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25F8A" w14:textId="52C9232D" w:rsidR="0012562D" w:rsidRPr="00A15E10" w:rsidRDefault="00DA5AFB" w:rsidP="0012562D">
    <w:pPr>
      <w:pStyle w:val="Footer"/>
      <w:tabs>
        <w:tab w:val="clear" w:pos="9360"/>
      </w:tabs>
      <w:ind w:right="-846"/>
      <w:jc w:val="right"/>
      <w:rPr>
        <w:i/>
        <w:iCs/>
      </w:rPr>
    </w:pPr>
    <w:r>
      <w:rPr>
        <w:noProof/>
      </w:rPr>
      <w:drawing>
        <wp:anchor distT="0" distB="0" distL="114300" distR="114300" simplePos="0" relativeHeight="251673600" behindDoc="0" locked="0" layoutInCell="1" allowOverlap="1" wp14:anchorId="717C2CE5" wp14:editId="1EA5E8FC">
          <wp:simplePos x="0" y="0"/>
          <wp:positionH relativeFrom="column">
            <wp:posOffset>-859809</wp:posOffset>
          </wp:positionH>
          <wp:positionV relativeFrom="paragraph">
            <wp:posOffset>-34536</wp:posOffset>
          </wp:positionV>
          <wp:extent cx="1603375" cy="645795"/>
          <wp:effectExtent l="0" t="0" r="0" b="190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645795"/>
                  </a:xfrm>
                  <a:prstGeom prst="rect">
                    <a:avLst/>
                  </a:prstGeom>
                  <a:noFill/>
                </pic:spPr>
              </pic:pic>
            </a:graphicData>
          </a:graphic>
        </wp:anchor>
      </w:drawing>
    </w:r>
    <w:r w:rsidR="0012562D">
      <w:rPr>
        <w:i/>
      </w:rPr>
      <w:t>Politique d’authentification robuste de l’utilisateur</w:t>
    </w:r>
  </w:p>
  <w:p w14:paraId="5168558D" w14:textId="14351090" w:rsidR="0012562D" w:rsidRDefault="00125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5DA74" w14:textId="77777777" w:rsidR="00F54FD9" w:rsidRDefault="00F54FD9" w:rsidP="00A15E10">
      <w:pPr>
        <w:spacing w:after="0" w:line="240" w:lineRule="auto"/>
      </w:pPr>
      <w:r>
        <w:separator/>
      </w:r>
    </w:p>
  </w:footnote>
  <w:footnote w:type="continuationSeparator" w:id="0">
    <w:p w14:paraId="35DFDC7A" w14:textId="77777777" w:rsidR="00F54FD9" w:rsidRDefault="00F54FD9" w:rsidP="00A15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BFC35" w14:textId="17AC017D" w:rsidR="00064B47" w:rsidRDefault="00F54FD9">
    <w:pPr>
      <w:pStyle w:val="Header"/>
    </w:pPr>
    <w:r>
      <w:pict w14:anchorId="7F05A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34641" o:spid="_x0000_s2050" type="#_x0000_t136" style="position:absolute;margin-left:0;margin-top:0;width:479.85pt;height:179.95pt;rotation:315;z-index:-251651072;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F2A46" w14:textId="2E793351" w:rsidR="00A15E10" w:rsidRPr="008B3560" w:rsidRDefault="0077029F" w:rsidP="00A15E10">
    <w:pPr>
      <w:pStyle w:val="Header"/>
      <w:jc w:val="right"/>
      <w:rPr>
        <w:iCs/>
      </w:rPr>
    </w:pPr>
    <w:r w:rsidRPr="0077029F">
      <w:rPr>
        <w:iCs/>
        <w:noProof/>
      </w:rPr>
      <w:drawing>
        <wp:anchor distT="0" distB="0" distL="114300" distR="114300" simplePos="0" relativeHeight="251676672" behindDoc="0" locked="0" layoutInCell="1" allowOverlap="1" wp14:anchorId="65D0A680" wp14:editId="438679A9">
          <wp:simplePos x="0" y="0"/>
          <wp:positionH relativeFrom="column">
            <wp:posOffset>-464024</wp:posOffset>
          </wp:positionH>
          <wp:positionV relativeFrom="paragraph">
            <wp:posOffset>-367693</wp:posOffset>
          </wp:positionV>
          <wp:extent cx="1234886" cy="1051455"/>
          <wp:effectExtent l="0" t="0" r="0" b="0"/>
          <wp:wrapNone/>
          <wp:docPr id="10" name="Picture 9">
            <a:extLst xmlns:a="http://schemas.openxmlformats.org/drawingml/2006/main">
              <a:ext uri="{FF2B5EF4-FFF2-40B4-BE49-F238E27FC236}">
                <a16:creationId xmlns:a16="http://schemas.microsoft.com/office/drawing/2014/main" id="{077302B8-8263-4435-8875-1945C4C26E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77302B8-8263-4435-8875-1945C4C26E0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6095" cy="1052485"/>
                  </a:xfrm>
                  <a:prstGeom prst="rect">
                    <a:avLst/>
                  </a:prstGeom>
                </pic:spPr>
              </pic:pic>
            </a:graphicData>
          </a:graphic>
          <wp14:sizeRelH relativeFrom="margin">
            <wp14:pctWidth>0</wp14:pctWidth>
          </wp14:sizeRelH>
          <wp14:sizeRelV relativeFrom="margin">
            <wp14:pctHeight>0</wp14:pctHeight>
          </wp14:sizeRelV>
        </wp:anchor>
      </w:drawing>
    </w:r>
    <w:r w:rsidR="00F54FD9">
      <w:rPr>
        <w:iCs/>
      </w:rPr>
      <w:pict w14:anchorId="70506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34642" o:spid="_x0000_s2051" type="#_x0000_t136" style="position:absolute;left:0;text-align:left;margin-left:0;margin-top:0;width:479.85pt;height:179.95pt;rotation:315;z-index:-251649024;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r w:rsidR="00AA6CB7" w:rsidRPr="008B3560">
      <w:rPr>
        <w:iCs/>
      </w:rPr>
      <w:t>Dernière mise à jour</w:t>
    </w:r>
    <w:r w:rsidR="009522FD" w:rsidRPr="008B3560">
      <w:rPr>
        <w:iCs/>
      </w:rPr>
      <w:t> :</w:t>
    </w:r>
    <w:r w:rsidR="00AA6CB7" w:rsidRPr="008B3560">
      <w:rPr>
        <w:iCs/>
      </w:rPr>
      <w:t xml:space="preserve"> 1</w:t>
    </w:r>
    <w:r w:rsidR="00AA6CB7" w:rsidRPr="008B3560">
      <w:rPr>
        <w:iCs/>
        <w:vertAlign w:val="superscript"/>
      </w:rPr>
      <w:t>er</w:t>
    </w:r>
    <w:r w:rsidR="004F6659" w:rsidRPr="008B3560">
      <w:rPr>
        <w:iCs/>
      </w:rPr>
      <w:t> </w:t>
    </w:r>
    <w:r w:rsidR="00AA6CB7" w:rsidRPr="008B3560">
      <w:rPr>
        <w:iCs/>
      </w:rPr>
      <w:t>janvier</w:t>
    </w:r>
    <w:r w:rsidR="004F6659" w:rsidRPr="008B3560">
      <w:rPr>
        <w:iCs/>
      </w:rPr>
      <w:t> </w:t>
    </w:r>
    <w:r w:rsidR="00AA6CB7" w:rsidRPr="008B3560">
      <w:rPr>
        <w:iCs/>
      </w:rPr>
      <w:t>2021</w:t>
    </w:r>
  </w:p>
  <w:p w14:paraId="00C4AA07" w14:textId="77777777" w:rsidR="00A15E10" w:rsidRDefault="00A15E10">
    <w:pPr>
      <w:pStyle w:val="Header"/>
    </w:pPr>
  </w:p>
  <w:p w14:paraId="1C945EB0" w14:textId="77777777" w:rsidR="00A15E10" w:rsidRDefault="00A15E10">
    <w:pPr>
      <w:pStyle w:val="Header"/>
    </w:pPr>
  </w:p>
  <w:p w14:paraId="6340D368" w14:textId="51CBD338" w:rsidR="00A15E10" w:rsidRDefault="00A15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1CC44" w14:textId="061FC902" w:rsidR="00064B47" w:rsidRDefault="00F54FD9">
    <w:pPr>
      <w:pStyle w:val="Header"/>
    </w:pPr>
    <w:r>
      <w:pict w14:anchorId="303F4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34640" o:spid="_x0000_s2049" type="#_x0000_t136" style="position:absolute;margin-left:0;margin-top:0;width:479.85pt;height:179.95pt;rotation:315;z-index:-251653120;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1F20"/>
    <w:multiLevelType w:val="hybridMultilevel"/>
    <w:tmpl w:val="976C7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8C5155"/>
    <w:multiLevelType w:val="hybridMultilevel"/>
    <w:tmpl w:val="FEA805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8B190D"/>
    <w:multiLevelType w:val="hybridMultilevel"/>
    <w:tmpl w:val="9C96AB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2A76DEC"/>
    <w:multiLevelType w:val="hybridMultilevel"/>
    <w:tmpl w:val="D6C29292"/>
    <w:lvl w:ilvl="0" w:tplc="7B40ED94">
      <w:start w:val="1"/>
      <w:numFmt w:val="decimal"/>
      <w:lvlText w:val="%1."/>
      <w:lvlJc w:val="left"/>
      <w:pPr>
        <w:ind w:left="720" w:hanging="360"/>
      </w:pPr>
      <w:rPr>
        <w:rFonts w:hint="default"/>
        <w:color w:val="0000FF"/>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8BF7E58"/>
    <w:multiLevelType w:val="hybridMultilevel"/>
    <w:tmpl w:val="86584FAE"/>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C0C1AE2"/>
    <w:multiLevelType w:val="hybridMultilevel"/>
    <w:tmpl w:val="12CEBB6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 w15:restartNumberingAfterBreak="0">
    <w:nsid w:val="56BE02B0"/>
    <w:multiLevelType w:val="hybridMultilevel"/>
    <w:tmpl w:val="8ABE13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83B2456"/>
    <w:multiLevelType w:val="hybridMultilevel"/>
    <w:tmpl w:val="38B0075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A51157B"/>
    <w:multiLevelType w:val="hybridMultilevel"/>
    <w:tmpl w:val="919CB9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E553DE"/>
    <w:multiLevelType w:val="hybridMultilevel"/>
    <w:tmpl w:val="88C6837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AE67E0E"/>
    <w:multiLevelType w:val="hybridMultilevel"/>
    <w:tmpl w:val="8C168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19432F9"/>
    <w:multiLevelType w:val="hybridMultilevel"/>
    <w:tmpl w:val="70CCB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C455E65"/>
    <w:multiLevelType w:val="hybridMultilevel"/>
    <w:tmpl w:val="1032ACA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D907C7C"/>
    <w:multiLevelType w:val="hybridMultilevel"/>
    <w:tmpl w:val="FE64F62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FE610C9"/>
    <w:multiLevelType w:val="hybridMultilevel"/>
    <w:tmpl w:val="268E9394"/>
    <w:lvl w:ilvl="0" w:tplc="10090001">
      <w:start w:val="1"/>
      <w:numFmt w:val="bullet"/>
      <w:lvlText w:val=""/>
      <w:lvlJc w:val="left"/>
      <w:pPr>
        <w:ind w:left="720" w:hanging="360"/>
      </w:pPr>
      <w:rPr>
        <w:rFonts w:ascii="Symbol" w:hAnsi="Symbol" w:hint="default"/>
        <w:color w:val="0000FF"/>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1D42273"/>
    <w:multiLevelType w:val="hybridMultilevel"/>
    <w:tmpl w:val="B76A0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7E43BDC"/>
    <w:multiLevelType w:val="hybridMultilevel"/>
    <w:tmpl w:val="17B600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D3D5633"/>
    <w:multiLevelType w:val="hybridMultilevel"/>
    <w:tmpl w:val="394CA0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13"/>
  </w:num>
  <w:num w:numId="5">
    <w:abstractNumId w:val="1"/>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16"/>
  </w:num>
  <w:num w:numId="11">
    <w:abstractNumId w:val="9"/>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A3"/>
    <w:rsid w:val="00051C8A"/>
    <w:rsid w:val="00064B47"/>
    <w:rsid w:val="000921B3"/>
    <w:rsid w:val="000B69DC"/>
    <w:rsid w:val="000F0E15"/>
    <w:rsid w:val="000F280E"/>
    <w:rsid w:val="0012562D"/>
    <w:rsid w:val="001465EA"/>
    <w:rsid w:val="00184DC5"/>
    <w:rsid w:val="001E6DCF"/>
    <w:rsid w:val="001E769F"/>
    <w:rsid w:val="00216D1A"/>
    <w:rsid w:val="0021784C"/>
    <w:rsid w:val="00244EBD"/>
    <w:rsid w:val="002603E6"/>
    <w:rsid w:val="00261E83"/>
    <w:rsid w:val="00272DAB"/>
    <w:rsid w:val="00297EC0"/>
    <w:rsid w:val="002E1435"/>
    <w:rsid w:val="002E5001"/>
    <w:rsid w:val="00306DA5"/>
    <w:rsid w:val="00360EDF"/>
    <w:rsid w:val="00370EAF"/>
    <w:rsid w:val="00386097"/>
    <w:rsid w:val="00387BE6"/>
    <w:rsid w:val="003C4436"/>
    <w:rsid w:val="003C66D1"/>
    <w:rsid w:val="003E3E45"/>
    <w:rsid w:val="00447D85"/>
    <w:rsid w:val="00454299"/>
    <w:rsid w:val="00463D28"/>
    <w:rsid w:val="00480E29"/>
    <w:rsid w:val="00492F4A"/>
    <w:rsid w:val="004A2648"/>
    <w:rsid w:val="004B23FB"/>
    <w:rsid w:val="004D14FD"/>
    <w:rsid w:val="004F6659"/>
    <w:rsid w:val="00517866"/>
    <w:rsid w:val="00581076"/>
    <w:rsid w:val="005972C4"/>
    <w:rsid w:val="005B33E3"/>
    <w:rsid w:val="005D29BE"/>
    <w:rsid w:val="005D75EC"/>
    <w:rsid w:val="006727F2"/>
    <w:rsid w:val="006B658E"/>
    <w:rsid w:val="006F2B47"/>
    <w:rsid w:val="006F7D54"/>
    <w:rsid w:val="00713669"/>
    <w:rsid w:val="00717EBF"/>
    <w:rsid w:val="007627D6"/>
    <w:rsid w:val="0077029F"/>
    <w:rsid w:val="007A323C"/>
    <w:rsid w:val="007E563D"/>
    <w:rsid w:val="007F63E2"/>
    <w:rsid w:val="00823DFF"/>
    <w:rsid w:val="008260A3"/>
    <w:rsid w:val="0084154A"/>
    <w:rsid w:val="00862D8A"/>
    <w:rsid w:val="00896EF9"/>
    <w:rsid w:val="008B2D97"/>
    <w:rsid w:val="008B3560"/>
    <w:rsid w:val="008B4DFB"/>
    <w:rsid w:val="00934DB9"/>
    <w:rsid w:val="009522FD"/>
    <w:rsid w:val="0098700B"/>
    <w:rsid w:val="009D1DDD"/>
    <w:rsid w:val="00A15E10"/>
    <w:rsid w:val="00A4005D"/>
    <w:rsid w:val="00A405D2"/>
    <w:rsid w:val="00AA6CB7"/>
    <w:rsid w:val="00AC5AF0"/>
    <w:rsid w:val="00AD2F1C"/>
    <w:rsid w:val="00AE63B2"/>
    <w:rsid w:val="00AF40AA"/>
    <w:rsid w:val="00B0567D"/>
    <w:rsid w:val="00B13774"/>
    <w:rsid w:val="00B75D1E"/>
    <w:rsid w:val="00B82BBF"/>
    <w:rsid w:val="00BA3499"/>
    <w:rsid w:val="00BA73A4"/>
    <w:rsid w:val="00BB71CE"/>
    <w:rsid w:val="00BD7A2C"/>
    <w:rsid w:val="00C00A02"/>
    <w:rsid w:val="00C10582"/>
    <w:rsid w:val="00C324FE"/>
    <w:rsid w:val="00C6432F"/>
    <w:rsid w:val="00CA54E1"/>
    <w:rsid w:val="00CE0E5E"/>
    <w:rsid w:val="00CF569A"/>
    <w:rsid w:val="00D4166A"/>
    <w:rsid w:val="00D552F5"/>
    <w:rsid w:val="00D63953"/>
    <w:rsid w:val="00D70AED"/>
    <w:rsid w:val="00D70D70"/>
    <w:rsid w:val="00DA2925"/>
    <w:rsid w:val="00DA5AFB"/>
    <w:rsid w:val="00DC4362"/>
    <w:rsid w:val="00DE7F4B"/>
    <w:rsid w:val="00E06C42"/>
    <w:rsid w:val="00E22F58"/>
    <w:rsid w:val="00E300A5"/>
    <w:rsid w:val="00E873B3"/>
    <w:rsid w:val="00E93890"/>
    <w:rsid w:val="00E96FE8"/>
    <w:rsid w:val="00E97E73"/>
    <w:rsid w:val="00EA249D"/>
    <w:rsid w:val="00EB1F65"/>
    <w:rsid w:val="00EB3B5B"/>
    <w:rsid w:val="00ED164B"/>
    <w:rsid w:val="00ED4F59"/>
    <w:rsid w:val="00EE532B"/>
    <w:rsid w:val="00F025E3"/>
    <w:rsid w:val="00F057C8"/>
    <w:rsid w:val="00F16739"/>
    <w:rsid w:val="00F54FD9"/>
    <w:rsid w:val="00F6071D"/>
    <w:rsid w:val="00F8192C"/>
    <w:rsid w:val="00FA3983"/>
    <w:rsid w:val="00FC6DA7"/>
    <w:rsid w:val="00FF660E"/>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5C9D2"/>
  <w15:chartTrackingRefBased/>
  <w15:docId w15:val="{B4545089-84AC-49C5-9C56-1EB47F15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A"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0A3"/>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AC5AF0"/>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60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0A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260A3"/>
    <w:rPr>
      <w:color w:val="5A5A5A" w:themeColor="text1" w:themeTint="A5"/>
      <w:spacing w:val="15"/>
    </w:rPr>
  </w:style>
  <w:style w:type="paragraph" w:styleId="Date">
    <w:name w:val="Date"/>
    <w:basedOn w:val="Normal"/>
    <w:next w:val="Normal"/>
    <w:link w:val="DateChar"/>
    <w:uiPriority w:val="99"/>
    <w:semiHidden/>
    <w:unhideWhenUsed/>
    <w:rsid w:val="008260A3"/>
  </w:style>
  <w:style w:type="character" w:customStyle="1" w:styleId="DateChar">
    <w:name w:val="Date Char"/>
    <w:basedOn w:val="DefaultParagraphFont"/>
    <w:link w:val="Date"/>
    <w:uiPriority w:val="99"/>
    <w:semiHidden/>
    <w:rsid w:val="008260A3"/>
  </w:style>
  <w:style w:type="character" w:customStyle="1" w:styleId="Heading1Char">
    <w:name w:val="Heading 1 Char"/>
    <w:basedOn w:val="DefaultParagraphFont"/>
    <w:link w:val="Heading1"/>
    <w:uiPriority w:val="9"/>
    <w:rsid w:val="008260A3"/>
    <w:rPr>
      <w:rFonts w:asciiTheme="majorHAnsi" w:eastAsiaTheme="majorEastAsia" w:hAnsiTheme="majorHAnsi" w:cstheme="majorBidi"/>
      <w:color w:val="A5A5A5" w:themeColor="accent1" w:themeShade="BF"/>
      <w:sz w:val="32"/>
      <w:szCs w:val="32"/>
    </w:rPr>
  </w:style>
  <w:style w:type="table" w:styleId="LightList-Accent1">
    <w:name w:val="Light List Accent 1"/>
    <w:basedOn w:val="TableNormal"/>
    <w:uiPriority w:val="61"/>
    <w:rsid w:val="008260A3"/>
    <w:pPr>
      <w:spacing w:after="0" w:line="240" w:lineRule="auto"/>
    </w:pPr>
    <w:rPr>
      <w:rFonts w:eastAsiaTheme="minorHAnsi"/>
      <w:lang w:eastAsia="en-US"/>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TableGrid">
    <w:name w:val="Table Grid"/>
    <w:basedOn w:val="TableNormal"/>
    <w:uiPriority w:val="39"/>
    <w:rsid w:val="00447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D85"/>
    <w:rPr>
      <w:color w:val="5F5F5F" w:themeColor="hyperlink"/>
      <w:u w:val="single"/>
    </w:rPr>
  </w:style>
  <w:style w:type="character" w:styleId="UnresolvedMention">
    <w:name w:val="Unresolved Mention"/>
    <w:basedOn w:val="DefaultParagraphFont"/>
    <w:uiPriority w:val="99"/>
    <w:semiHidden/>
    <w:unhideWhenUsed/>
    <w:rsid w:val="00447D85"/>
    <w:rPr>
      <w:color w:val="605E5C"/>
      <w:shd w:val="clear" w:color="auto" w:fill="E1DFDD"/>
    </w:rPr>
  </w:style>
  <w:style w:type="paragraph" w:styleId="ListParagraph">
    <w:name w:val="List Paragraph"/>
    <w:basedOn w:val="Normal"/>
    <w:uiPriority w:val="34"/>
    <w:qFormat/>
    <w:rsid w:val="00447D85"/>
    <w:pPr>
      <w:ind w:left="720"/>
      <w:contextualSpacing/>
    </w:pPr>
  </w:style>
  <w:style w:type="paragraph" w:styleId="TOCHeading">
    <w:name w:val="TOC Heading"/>
    <w:basedOn w:val="Heading1"/>
    <w:next w:val="Normal"/>
    <w:uiPriority w:val="39"/>
    <w:unhideWhenUsed/>
    <w:qFormat/>
    <w:rsid w:val="00934DB9"/>
    <w:pPr>
      <w:outlineLvl w:val="9"/>
    </w:pPr>
    <w:rPr>
      <w:lang w:eastAsia="en-US"/>
    </w:rPr>
  </w:style>
  <w:style w:type="paragraph" w:styleId="TOC1">
    <w:name w:val="toc 1"/>
    <w:basedOn w:val="Normal"/>
    <w:next w:val="Normal"/>
    <w:autoRedefine/>
    <w:uiPriority w:val="39"/>
    <w:unhideWhenUsed/>
    <w:rsid w:val="00934DB9"/>
    <w:pPr>
      <w:spacing w:after="100"/>
    </w:pPr>
  </w:style>
  <w:style w:type="paragraph" w:styleId="BalloonText">
    <w:name w:val="Balloon Text"/>
    <w:basedOn w:val="Normal"/>
    <w:link w:val="BalloonTextChar"/>
    <w:uiPriority w:val="99"/>
    <w:semiHidden/>
    <w:unhideWhenUsed/>
    <w:rsid w:val="00360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EDF"/>
    <w:rPr>
      <w:rFonts w:ascii="Segoe UI" w:hAnsi="Segoe UI" w:cs="Segoe UI"/>
      <w:sz w:val="18"/>
      <w:szCs w:val="18"/>
    </w:rPr>
  </w:style>
  <w:style w:type="character" w:customStyle="1" w:styleId="Heading3Char">
    <w:name w:val="Heading 3 Char"/>
    <w:basedOn w:val="DefaultParagraphFont"/>
    <w:link w:val="Heading3"/>
    <w:uiPriority w:val="9"/>
    <w:semiHidden/>
    <w:rsid w:val="00AC5AF0"/>
    <w:rPr>
      <w:rFonts w:asciiTheme="majorHAnsi" w:eastAsiaTheme="majorEastAsia" w:hAnsiTheme="majorHAnsi" w:cstheme="majorBidi"/>
      <w:color w:val="6E6E6E" w:themeColor="accent1" w:themeShade="7F"/>
      <w:sz w:val="24"/>
      <w:szCs w:val="24"/>
    </w:rPr>
  </w:style>
  <w:style w:type="character" w:styleId="CommentReference">
    <w:name w:val="annotation reference"/>
    <w:basedOn w:val="DefaultParagraphFont"/>
    <w:uiPriority w:val="99"/>
    <w:semiHidden/>
    <w:unhideWhenUsed/>
    <w:rsid w:val="00244EBD"/>
    <w:rPr>
      <w:sz w:val="16"/>
      <w:szCs w:val="16"/>
    </w:rPr>
  </w:style>
  <w:style w:type="paragraph" w:styleId="CommentText">
    <w:name w:val="annotation text"/>
    <w:basedOn w:val="Normal"/>
    <w:link w:val="CommentTextChar"/>
    <w:uiPriority w:val="99"/>
    <w:semiHidden/>
    <w:unhideWhenUsed/>
    <w:rsid w:val="00244EBD"/>
    <w:pPr>
      <w:spacing w:line="240" w:lineRule="auto"/>
    </w:pPr>
    <w:rPr>
      <w:sz w:val="20"/>
      <w:szCs w:val="20"/>
    </w:rPr>
  </w:style>
  <w:style w:type="character" w:customStyle="1" w:styleId="CommentTextChar">
    <w:name w:val="Comment Text Char"/>
    <w:basedOn w:val="DefaultParagraphFont"/>
    <w:link w:val="CommentText"/>
    <w:uiPriority w:val="99"/>
    <w:semiHidden/>
    <w:rsid w:val="00244EBD"/>
    <w:rPr>
      <w:sz w:val="20"/>
      <w:szCs w:val="20"/>
    </w:rPr>
  </w:style>
  <w:style w:type="paragraph" w:styleId="CommentSubject">
    <w:name w:val="annotation subject"/>
    <w:basedOn w:val="CommentText"/>
    <w:next w:val="CommentText"/>
    <w:link w:val="CommentSubjectChar"/>
    <w:uiPriority w:val="99"/>
    <w:semiHidden/>
    <w:unhideWhenUsed/>
    <w:rsid w:val="00244EBD"/>
    <w:rPr>
      <w:b/>
      <w:bCs/>
    </w:rPr>
  </w:style>
  <w:style w:type="character" w:customStyle="1" w:styleId="CommentSubjectChar">
    <w:name w:val="Comment Subject Char"/>
    <w:basedOn w:val="CommentTextChar"/>
    <w:link w:val="CommentSubject"/>
    <w:uiPriority w:val="99"/>
    <w:semiHidden/>
    <w:rsid w:val="00244EBD"/>
    <w:rPr>
      <w:b/>
      <w:bCs/>
      <w:sz w:val="20"/>
      <w:szCs w:val="20"/>
    </w:rPr>
  </w:style>
  <w:style w:type="paragraph" w:styleId="NoSpacing">
    <w:name w:val="No Spacing"/>
    <w:uiPriority w:val="1"/>
    <w:qFormat/>
    <w:rsid w:val="001E769F"/>
    <w:pPr>
      <w:spacing w:before="100" w:after="0" w:line="240" w:lineRule="auto"/>
    </w:pPr>
    <w:rPr>
      <w:sz w:val="20"/>
      <w:szCs w:val="20"/>
      <w:lang w:eastAsia="en-US"/>
    </w:rPr>
  </w:style>
  <w:style w:type="character" w:styleId="SubtleEmphasis">
    <w:name w:val="Subtle Emphasis"/>
    <w:basedOn w:val="DefaultParagraphFont"/>
    <w:uiPriority w:val="19"/>
    <w:qFormat/>
    <w:rsid w:val="00A15E10"/>
    <w:rPr>
      <w:i/>
      <w:iCs/>
      <w:color w:val="1F3763"/>
    </w:rPr>
  </w:style>
  <w:style w:type="paragraph" w:styleId="Header">
    <w:name w:val="header"/>
    <w:basedOn w:val="Normal"/>
    <w:link w:val="HeaderChar"/>
    <w:uiPriority w:val="99"/>
    <w:unhideWhenUsed/>
    <w:rsid w:val="00A15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E10"/>
  </w:style>
  <w:style w:type="paragraph" w:styleId="Footer">
    <w:name w:val="footer"/>
    <w:basedOn w:val="Normal"/>
    <w:link w:val="FooterChar"/>
    <w:uiPriority w:val="99"/>
    <w:unhideWhenUsed/>
    <w:rsid w:val="00A15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E10"/>
  </w:style>
  <w:style w:type="table" w:styleId="ListTable7Colorful">
    <w:name w:val="List Table 7 Colorful"/>
    <w:basedOn w:val="TableNormal"/>
    <w:uiPriority w:val="52"/>
    <w:rsid w:val="00A15E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0D85-49AE-4A46-AD9E-FF6FCA29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Lim</dc:creator>
  <cp:keywords/>
  <dc:description/>
  <cp:lastModifiedBy>Bulch, Alex (ISED/ISDE)</cp:lastModifiedBy>
  <cp:revision>6</cp:revision>
  <dcterms:created xsi:type="dcterms:W3CDTF">2021-09-09T18:14:00Z</dcterms:created>
  <dcterms:modified xsi:type="dcterms:W3CDTF">2021-12-02T16:42:00Z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-1527490883</vt:i4>
  </property>
  <property fmtid="{D5CDD505-2E9C-101B-9397-08002B2CF9AE}" pid="3" name="_NewReviewCycle">
    <vt:lpwstr/>
  </property>
  <property fmtid="{D5CDD505-2E9C-101B-9397-08002B2CF9AE}" pid="4" name="_EmailSubject">
    <vt:lpwstr>ISED: CyberSecure eLearning: documents require translation services with Open Text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PreviousAdHocReviewCycleID">
    <vt:i4>935702898</vt:i4>
  </property>
  <property fmtid="{D5CDD505-2E9C-101B-9397-08002B2CF9AE}" pid="8" name="_ReviewingToolsShownOnce">
    <vt:lpwstr/>
  </property>
</Properties>
</file>