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F2626" w14:textId="737D4218" w:rsidR="00AE7BCF" w:rsidRPr="00F94989" w:rsidRDefault="00AE7BCF" w:rsidP="000D5361">
      <w:pPr>
        <w:jc w:val="center"/>
        <w:rPr>
          <w:color w:val="FF0000"/>
          <w:sz w:val="44"/>
          <w:szCs w:val="44"/>
        </w:rPr>
      </w:pPr>
    </w:p>
    <w:p w14:paraId="14094E96" w14:textId="77777777" w:rsidR="00AE7BCF" w:rsidRPr="00AE7BCF" w:rsidRDefault="00AE7BCF" w:rsidP="000D5361"/>
    <w:p w14:paraId="1A947FD5" w14:textId="056CE03A" w:rsidR="00375211" w:rsidRDefault="00711204" w:rsidP="00375211">
      <w:pPr>
        <w:spacing w:after="0"/>
        <w:rPr>
          <w:rFonts w:ascii="Calibri Light" w:hAnsi="Calibri Light"/>
          <w:color w:val="000000"/>
          <w:sz w:val="28"/>
          <w:szCs w:val="8"/>
          <w:highlight w:val="yellow"/>
        </w:rPr>
      </w:pPr>
      <w:bookmarkStart w:id="0" w:name="_Hlk81847118"/>
      <w:r w:rsidRPr="00375211">
        <w:rPr>
          <w:rFonts w:ascii="Calibri Light" w:hAnsi="Calibri Light"/>
          <w:color w:val="000000"/>
          <w:sz w:val="28"/>
          <w:szCs w:val="8"/>
          <w:highlight w:val="yellow"/>
        </w:rPr>
        <w:t>[</w:t>
      </w:r>
      <w:r w:rsidR="00886027">
        <w:rPr>
          <w:rFonts w:ascii="Calibri Light" w:hAnsi="Calibri Light"/>
          <w:color w:val="000000"/>
          <w:sz w:val="28"/>
          <w:szCs w:val="8"/>
          <w:highlight w:val="yellow"/>
        </w:rPr>
        <w:t>N</w:t>
      </w:r>
      <w:r w:rsidRPr="00375211">
        <w:rPr>
          <w:rFonts w:ascii="Calibri Light" w:hAnsi="Calibri Light"/>
          <w:color w:val="000000"/>
          <w:sz w:val="28"/>
          <w:szCs w:val="8"/>
          <w:highlight w:val="yellow"/>
        </w:rPr>
        <w:t>om de l’entreprise]</w:t>
      </w:r>
      <w:bookmarkEnd w:id="0"/>
    </w:p>
    <w:p w14:paraId="4C6BAB2D" w14:textId="09C5B53A" w:rsidR="00375211" w:rsidRPr="00375211" w:rsidRDefault="00711204" w:rsidP="00375211">
      <w:pPr>
        <w:spacing w:after="0"/>
        <w:rPr>
          <w:rFonts w:ascii="Calibri Light" w:hAnsi="Calibri Light"/>
          <w:color w:val="000000"/>
          <w:sz w:val="56"/>
          <w:szCs w:val="56"/>
          <w:highlight w:val="yellow"/>
        </w:rPr>
      </w:pPr>
      <w:r w:rsidRPr="00375211">
        <w:rPr>
          <w:rFonts w:ascii="Calibri Light" w:hAnsi="Calibri Light"/>
          <w:color w:val="000000"/>
          <w:sz w:val="56"/>
          <w:szCs w:val="56"/>
        </w:rPr>
        <w:t xml:space="preserve">Politique </w:t>
      </w:r>
      <w:r>
        <w:rPr>
          <w:rFonts w:ascii="Calibri Light" w:hAnsi="Calibri Light"/>
          <w:color w:val="000000"/>
          <w:sz w:val="56"/>
          <w:szCs w:val="56"/>
        </w:rPr>
        <w:t>d</w:t>
      </w:r>
      <w:r w:rsidRPr="00375211">
        <w:rPr>
          <w:rFonts w:ascii="Calibri Light" w:hAnsi="Calibri Light"/>
          <w:color w:val="000000"/>
          <w:sz w:val="56"/>
          <w:szCs w:val="56"/>
        </w:rPr>
        <w:t xml:space="preserve">e mise </w:t>
      </w:r>
      <w:r>
        <w:rPr>
          <w:rFonts w:ascii="Calibri Light" w:hAnsi="Calibri Light"/>
          <w:color w:val="000000"/>
          <w:sz w:val="56"/>
          <w:szCs w:val="56"/>
        </w:rPr>
        <w:t>e</w:t>
      </w:r>
      <w:r w:rsidRPr="00375211">
        <w:rPr>
          <w:rFonts w:ascii="Calibri Light" w:hAnsi="Calibri Light"/>
          <w:color w:val="000000"/>
          <w:sz w:val="56"/>
          <w:szCs w:val="56"/>
        </w:rPr>
        <w:t xml:space="preserve">n œuvre </w:t>
      </w:r>
      <w:r>
        <w:rPr>
          <w:rFonts w:ascii="Calibri Light" w:hAnsi="Calibri Light"/>
          <w:color w:val="000000"/>
          <w:sz w:val="56"/>
          <w:szCs w:val="56"/>
        </w:rPr>
        <w:t>d</w:t>
      </w:r>
      <w:r w:rsidRPr="00375211">
        <w:rPr>
          <w:rFonts w:ascii="Calibri Light" w:hAnsi="Calibri Light"/>
          <w:color w:val="000000"/>
          <w:sz w:val="56"/>
          <w:szCs w:val="56"/>
        </w:rPr>
        <w:t xml:space="preserve">es contrôles </w:t>
      </w:r>
      <w:r>
        <w:rPr>
          <w:rFonts w:ascii="Calibri Light" w:hAnsi="Calibri Light"/>
          <w:color w:val="000000"/>
          <w:sz w:val="56"/>
          <w:szCs w:val="56"/>
        </w:rPr>
        <w:t>d</w:t>
      </w:r>
      <w:r w:rsidRPr="00375211">
        <w:rPr>
          <w:rFonts w:ascii="Calibri Light" w:hAnsi="Calibri Light"/>
          <w:color w:val="000000"/>
          <w:sz w:val="56"/>
          <w:szCs w:val="56"/>
        </w:rPr>
        <w:t>’</w:t>
      </w:r>
      <w:r>
        <w:rPr>
          <w:rFonts w:ascii="Calibri Light" w:hAnsi="Calibri Light"/>
          <w:color w:val="000000"/>
          <w:sz w:val="56"/>
          <w:szCs w:val="56"/>
        </w:rPr>
        <w:t>a</w:t>
      </w:r>
      <w:r w:rsidRPr="00375211">
        <w:rPr>
          <w:rFonts w:ascii="Calibri Light" w:hAnsi="Calibri Light"/>
          <w:color w:val="000000"/>
          <w:sz w:val="56"/>
          <w:szCs w:val="56"/>
        </w:rPr>
        <w:t xml:space="preserve">ccès </w:t>
      </w:r>
      <w:r>
        <w:rPr>
          <w:rFonts w:ascii="Calibri Light" w:hAnsi="Calibri Light"/>
          <w:color w:val="000000"/>
          <w:sz w:val="56"/>
          <w:szCs w:val="56"/>
        </w:rPr>
        <w:t>e</w:t>
      </w:r>
      <w:r w:rsidRPr="00375211">
        <w:rPr>
          <w:rFonts w:ascii="Calibri Light" w:hAnsi="Calibri Light"/>
          <w:color w:val="000000"/>
          <w:sz w:val="56"/>
          <w:szCs w:val="56"/>
        </w:rPr>
        <w:t xml:space="preserve">t </w:t>
      </w:r>
      <w:r>
        <w:rPr>
          <w:rFonts w:ascii="Calibri Light" w:hAnsi="Calibri Light"/>
          <w:color w:val="000000"/>
          <w:sz w:val="56"/>
          <w:szCs w:val="56"/>
        </w:rPr>
        <w:t>d</w:t>
      </w:r>
      <w:r w:rsidRPr="00375211">
        <w:rPr>
          <w:rFonts w:ascii="Calibri Light" w:hAnsi="Calibri Light"/>
          <w:color w:val="000000"/>
          <w:sz w:val="56"/>
          <w:szCs w:val="56"/>
        </w:rPr>
        <w:t>es autorisations (politique utilisateur)</w:t>
      </w:r>
    </w:p>
    <w:p w14:paraId="16C5E17F" w14:textId="189AFECC" w:rsidR="00F0696B" w:rsidRPr="00375211" w:rsidRDefault="00375211" w:rsidP="000D5361">
      <w:pPr>
        <w:rPr>
          <w:i/>
          <w:iCs/>
          <w:color w:val="0426CE"/>
        </w:rPr>
      </w:pPr>
      <w:r w:rsidRPr="00375211">
        <w:rPr>
          <w:iCs/>
          <w:highlight w:val="yellow"/>
        </w:rPr>
        <w:t>[Insérer la date]</w:t>
      </w:r>
    </w:p>
    <w:p w14:paraId="64049F7D" w14:textId="20675EFF" w:rsidR="00F0696B" w:rsidRDefault="00F0696B" w:rsidP="000D5361">
      <w:pPr>
        <w:rPr>
          <w:i/>
          <w:iCs/>
          <w:color w:val="0426CE"/>
        </w:rPr>
      </w:pPr>
    </w:p>
    <w:p w14:paraId="1AB8271A" w14:textId="25C0D24F" w:rsidR="00F0696B" w:rsidRDefault="00F0696B" w:rsidP="000D5361">
      <w:pPr>
        <w:rPr>
          <w:i/>
          <w:iCs/>
          <w:color w:val="0426CE"/>
        </w:rPr>
      </w:pPr>
    </w:p>
    <w:p w14:paraId="7150ED93" w14:textId="48B7082E" w:rsidR="00F0696B" w:rsidRDefault="00F0696B" w:rsidP="000D5361">
      <w:pPr>
        <w:rPr>
          <w:i/>
          <w:iCs/>
          <w:color w:val="0426CE"/>
        </w:rPr>
      </w:pPr>
    </w:p>
    <w:p w14:paraId="30C19638" w14:textId="0DAC9D17" w:rsidR="00F0696B" w:rsidRDefault="00F0696B" w:rsidP="000D5361">
      <w:pPr>
        <w:rPr>
          <w:i/>
          <w:iCs/>
          <w:color w:val="0426CE"/>
        </w:rPr>
      </w:pPr>
    </w:p>
    <w:p w14:paraId="32133E6B" w14:textId="274E5827" w:rsidR="00F0696B" w:rsidRDefault="00F0696B" w:rsidP="000D5361">
      <w:pPr>
        <w:rPr>
          <w:i/>
          <w:iCs/>
          <w:color w:val="0426CE"/>
        </w:rPr>
      </w:pPr>
    </w:p>
    <w:p w14:paraId="57ACFD8C" w14:textId="2287D3F4" w:rsidR="00F0696B" w:rsidRDefault="00F0696B" w:rsidP="000D5361">
      <w:pPr>
        <w:rPr>
          <w:i/>
          <w:iCs/>
          <w:color w:val="0426CE"/>
        </w:rPr>
      </w:pPr>
    </w:p>
    <w:p w14:paraId="4FDB074A" w14:textId="77777777" w:rsidR="00F0696B" w:rsidRDefault="00F0696B" w:rsidP="000D5361">
      <w:pPr>
        <w:rPr>
          <w:i/>
          <w:iCs/>
          <w:color w:val="0426CE"/>
        </w:rPr>
      </w:pPr>
    </w:p>
    <w:p w14:paraId="1CDC7853" w14:textId="5100BC4D" w:rsidR="00F0696B" w:rsidRDefault="00F0696B" w:rsidP="000D5361">
      <w:pPr>
        <w:rPr>
          <w:i/>
          <w:iCs/>
          <w:color w:val="0426CE"/>
        </w:rPr>
      </w:pPr>
    </w:p>
    <w:p w14:paraId="2444C000" w14:textId="7C86744C" w:rsidR="00F0696B" w:rsidRDefault="00F0696B" w:rsidP="000D5361">
      <w:pPr>
        <w:rPr>
          <w:i/>
          <w:iCs/>
          <w:color w:val="0426CE"/>
        </w:rPr>
      </w:pPr>
    </w:p>
    <w:p w14:paraId="4D287F92" w14:textId="77777777" w:rsidR="00F0696B" w:rsidRDefault="00F0696B" w:rsidP="000D5361">
      <w:pPr>
        <w:rPr>
          <w:i/>
          <w:iCs/>
          <w:color w:val="0426CE"/>
        </w:rPr>
      </w:pPr>
    </w:p>
    <w:p w14:paraId="69782BF3" w14:textId="77777777" w:rsidR="00375211" w:rsidRDefault="00375211" w:rsidP="00375211">
      <w:pPr>
        <w:pStyle w:val="NoSpacing"/>
        <w:ind w:right="4"/>
        <w:rPr>
          <w:b/>
          <w:bCs/>
          <w:color w:val="0426CE"/>
          <w:sz w:val="18"/>
          <w:szCs w:val="18"/>
        </w:rPr>
      </w:pPr>
      <w:r>
        <w:rPr>
          <w:b/>
          <w:bCs/>
          <w:color w:val="0426CE"/>
          <w:sz w:val="18"/>
        </w:rPr>
        <w:t xml:space="preserve">Avis de non-responsabilité </w:t>
      </w:r>
    </w:p>
    <w:p w14:paraId="423B0941" w14:textId="4F98C98F" w:rsidR="00375211" w:rsidRDefault="00886027" w:rsidP="00375211">
      <w:pPr>
        <w:spacing w:after="0" w:line="240" w:lineRule="auto"/>
        <w:rPr>
          <w:rFonts w:ascii="Calibri" w:hAnsi="Calibri"/>
          <w:iCs/>
          <w:sz w:val="22"/>
        </w:rPr>
      </w:pPr>
      <w:r w:rsidRPr="00886027">
        <w:rPr>
          <w:b/>
          <w:bCs/>
          <w:iCs/>
          <w:color w:val="0426CE"/>
          <w:sz w:val="20"/>
        </w:rPr>
        <w:t>Instructions</w:t>
      </w:r>
      <w:r>
        <w:rPr>
          <w:iCs/>
          <w:color w:val="0426CE"/>
          <w:sz w:val="20"/>
        </w:rPr>
        <w:t xml:space="preserve"> : </w:t>
      </w:r>
      <w:r w:rsidR="00375211">
        <w:rPr>
          <w:iCs/>
          <w:color w:val="0426CE"/>
          <w:sz w:val="20"/>
        </w:rPr>
        <w:t xml:space="preserve">CyberSécuritaire Canada a élaboré ce modèle pour que vous puissiez l’utiliser en relation avec les exigences de certification du contrôle de sécurité </w:t>
      </w:r>
      <w:r w:rsidR="00375211">
        <w:rPr>
          <w:b/>
          <w:bCs/>
          <w:iCs/>
          <w:color w:val="0426CE"/>
          <w:sz w:val="20"/>
        </w:rPr>
        <w:t>Offrir de la formation aux employés pour les sensibiliser</w:t>
      </w:r>
      <w:r w:rsidR="00375211">
        <w:rPr>
          <w:iCs/>
          <w:color w:val="0426CE"/>
          <w:sz w:val="20"/>
        </w:rPr>
        <w:t>. Il fournit des conseils sur la manière dont les informations peuvent être organisées et documentées en vue de la certification. CyberSécuritaire Canada ne garantit pas que l’utilisation de ce modèle mène nécessairement à l'obtention de la certification. Les entreprises ne sont pas forcées d'utiliser ce modèle et peuvent fournir la ou les exigences de certification dans le format documenté qui leur convient le mieux.</w:t>
      </w:r>
    </w:p>
    <w:p w14:paraId="0A9BEA19" w14:textId="547361B4" w:rsidR="00F0696B" w:rsidRPr="00C3140F" w:rsidRDefault="00C3140F" w:rsidP="000D5361">
      <w:pPr>
        <w:spacing w:after="0" w:line="240" w:lineRule="auto"/>
        <w:rPr>
          <w:rFonts w:ascii="Calibri" w:hAnsi="Calibri" w:cs="Calibri"/>
          <w:sz w:val="22"/>
          <w:szCs w:val="22"/>
        </w:rPr>
      </w:pPr>
      <w:r>
        <w:br w:type="page"/>
      </w:r>
    </w:p>
    <w:p w14:paraId="55CF5892" w14:textId="77777777" w:rsidR="00F0696B" w:rsidRDefault="00F0696B" w:rsidP="000D5361">
      <w:pPr>
        <w:pStyle w:val="Heading1"/>
      </w:pPr>
      <w:r>
        <w:lastRenderedPageBreak/>
        <w:t>Directives pour le modèle</w:t>
      </w:r>
    </w:p>
    <w:p w14:paraId="0E85C58A" w14:textId="7E7DAC80" w:rsidR="00F0696B" w:rsidRPr="00375211" w:rsidRDefault="00375211" w:rsidP="000D5361">
      <w:pPr>
        <w:rPr>
          <w:iCs/>
          <w:color w:val="0426CE"/>
        </w:rPr>
      </w:pPr>
      <w:r>
        <w:rPr>
          <w:b/>
          <w:bCs/>
          <w:iCs/>
          <w:color w:val="0426CE"/>
        </w:rPr>
        <w:t>Instructions </w:t>
      </w:r>
      <w:r w:rsidRPr="00375211">
        <w:rPr>
          <w:iCs/>
          <w:color w:val="0426CE"/>
        </w:rPr>
        <w:t>:</w:t>
      </w:r>
      <w:r>
        <w:rPr>
          <w:i/>
          <w:color w:val="0426CE"/>
        </w:rPr>
        <w:t xml:space="preserve"> </w:t>
      </w:r>
      <w:r w:rsidR="00F0696B" w:rsidRPr="00375211">
        <w:rPr>
          <w:iCs/>
          <w:color w:val="0426CE"/>
        </w:rPr>
        <w:t xml:space="preserve">L’objectif de ce modèle est d’aider les utilisateurs à répondre aux exigences de certification du contrôle de sécurité </w:t>
      </w:r>
      <w:r w:rsidR="00F0696B" w:rsidRPr="00375211">
        <w:rPr>
          <w:b/>
          <w:iCs/>
          <w:color w:val="0426CE"/>
        </w:rPr>
        <w:t>Mettre en œuvre des contrôles d’accès et des autorisations</w:t>
      </w:r>
      <w:r w:rsidR="00F0696B" w:rsidRPr="00375211">
        <w:rPr>
          <w:iCs/>
          <w:color w:val="0426CE"/>
        </w:rPr>
        <w:t xml:space="preserve"> de CyberSécuritaire Canada.</w:t>
      </w:r>
    </w:p>
    <w:p w14:paraId="3CF7F335" w14:textId="6434A0C5" w:rsidR="00F0696B" w:rsidRPr="00375211" w:rsidRDefault="00F0696B" w:rsidP="000D5361">
      <w:pPr>
        <w:rPr>
          <w:iCs/>
          <w:color w:val="0426CE"/>
        </w:rPr>
      </w:pPr>
      <w:r w:rsidRPr="00375211">
        <w:rPr>
          <w:iCs/>
          <w:color w:val="0426CE"/>
        </w:rPr>
        <w:t>Les instructions sont indiquées en caractères bleus dans chaque section de ce modèle. Une fois le modèle terminé, supprimer ces instructions.</w:t>
      </w:r>
    </w:p>
    <w:p w14:paraId="0DC9B7D9" w14:textId="6213791D" w:rsidR="008260A3" w:rsidRPr="00375211" w:rsidRDefault="00F0696B" w:rsidP="000D5361">
      <w:pPr>
        <w:rPr>
          <w:iCs/>
          <w:color w:val="0426CE"/>
        </w:rPr>
      </w:pPr>
      <w:r w:rsidRPr="00375211">
        <w:rPr>
          <w:iCs/>
          <w:color w:val="0426CE"/>
        </w:rPr>
        <w:t xml:space="preserve">Il est recommandé aux utilisateurs d’examiner le module d’apprentissage en ligne intitulé </w:t>
      </w:r>
      <w:r w:rsidRPr="00375211">
        <w:rPr>
          <w:b/>
          <w:bCs/>
          <w:iCs/>
          <w:color w:val="0426CE"/>
        </w:rPr>
        <w:t xml:space="preserve">Mettre en </w:t>
      </w:r>
      <w:r w:rsidR="000F7FE2" w:rsidRPr="00375211">
        <w:rPr>
          <w:b/>
          <w:bCs/>
          <w:iCs/>
          <w:color w:val="0426CE"/>
        </w:rPr>
        <w:t>œuvre</w:t>
      </w:r>
      <w:r w:rsidRPr="00375211">
        <w:rPr>
          <w:b/>
          <w:bCs/>
          <w:iCs/>
          <w:color w:val="0426CE"/>
        </w:rPr>
        <w:t xml:space="preserve"> des contrôles d’accès et des autorisations </w:t>
      </w:r>
      <w:r w:rsidRPr="00375211">
        <w:rPr>
          <w:iCs/>
          <w:color w:val="0426CE"/>
        </w:rPr>
        <w:t>et l’exemple complet de cette politique.</w:t>
      </w:r>
      <w:r w:rsidR="00375211">
        <w:rPr>
          <w:iCs/>
          <w:color w:val="0426CE"/>
        </w:rPr>
        <w:t xml:space="preserve"> </w:t>
      </w:r>
      <w:r w:rsidR="00375211">
        <w:rPr>
          <w:b/>
          <w:bCs/>
          <w:iCs/>
          <w:color w:val="0426CE"/>
        </w:rPr>
        <w:t>Fin des instructions</w:t>
      </w:r>
      <w:r w:rsidR="00375211">
        <w:rPr>
          <w:iCs/>
          <w:color w:val="0426CE"/>
        </w:rPr>
        <w:t>.</w:t>
      </w:r>
    </w:p>
    <w:p w14:paraId="5AE97A4B" w14:textId="5A8F165F" w:rsidR="008260A3" w:rsidRDefault="008260A3" w:rsidP="000D5361">
      <w:pPr>
        <w:pStyle w:val="Heading1"/>
      </w:pPr>
      <w:bookmarkStart w:id="1" w:name="_Hlk72313160"/>
      <w:r>
        <w:t>Historique des révisions</w:t>
      </w:r>
    </w:p>
    <w:p w14:paraId="441918F4" w14:textId="77777777" w:rsidR="000D5361" w:rsidRDefault="0029256B" w:rsidP="000D5361">
      <w:r>
        <w:t>Il est de bonne pratique pour les entreprises de réviser et de mettre à jour leurs politiques régulièrement.</w:t>
      </w:r>
    </w:p>
    <w:p w14:paraId="21ABC848" w14:textId="45181C28" w:rsidR="008260A3" w:rsidRDefault="0029256B" w:rsidP="000D5361">
      <w:r>
        <w:t xml:space="preserve">La politique de mise en </w:t>
      </w:r>
      <w:r w:rsidR="00166A1C">
        <w:t>œuvre</w:t>
      </w:r>
      <w:r>
        <w:t xml:space="preserve"> des contrôles d’accès et des autorisations a été modifiée comme suit</w:t>
      </w:r>
      <w:r w:rsidR="000D5361">
        <w:t> :</w:t>
      </w:r>
    </w:p>
    <w:tbl>
      <w:tblPr>
        <w:tblStyle w:val="GridTable4-Accent6"/>
        <w:tblW w:w="0" w:type="auto"/>
        <w:tblLook w:val="04A0" w:firstRow="1" w:lastRow="0" w:firstColumn="1" w:lastColumn="0" w:noHBand="0" w:noVBand="1"/>
      </w:tblPr>
      <w:tblGrid>
        <w:gridCol w:w="1745"/>
        <w:gridCol w:w="1689"/>
        <w:gridCol w:w="3599"/>
        <w:gridCol w:w="2317"/>
      </w:tblGrid>
      <w:tr w:rsidR="008260A3" w:rsidRPr="00BC3C41" w14:paraId="3E3F9107" w14:textId="77777777" w:rsidTr="00570D21">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45" w:type="dxa"/>
          </w:tcPr>
          <w:p w14:paraId="562F3D02" w14:textId="77777777" w:rsidR="008260A3" w:rsidRPr="00BC3C41" w:rsidRDefault="008260A3" w:rsidP="000D5361">
            <w:pPr>
              <w:rPr>
                <w:rFonts w:cstheme="minorHAnsi"/>
              </w:rPr>
            </w:pPr>
            <w:r>
              <w:t>Date</w:t>
            </w:r>
          </w:p>
        </w:tc>
        <w:tc>
          <w:tcPr>
            <w:tcW w:w="1689" w:type="dxa"/>
          </w:tcPr>
          <w:p w14:paraId="6D44612C" w14:textId="77777777" w:rsidR="008260A3" w:rsidRPr="00BC3C41" w:rsidRDefault="008260A3" w:rsidP="000D5361">
            <w:pPr>
              <w:cnfStyle w:val="100000000000" w:firstRow="1" w:lastRow="0" w:firstColumn="0" w:lastColumn="0" w:oddVBand="0" w:evenVBand="0" w:oddHBand="0" w:evenHBand="0" w:firstRowFirstColumn="0" w:firstRowLastColumn="0" w:lastRowFirstColumn="0" w:lastRowLastColumn="0"/>
              <w:rPr>
                <w:rFonts w:cstheme="minorHAnsi"/>
              </w:rPr>
            </w:pPr>
            <w:r>
              <w:t>Version</w:t>
            </w:r>
          </w:p>
        </w:tc>
        <w:tc>
          <w:tcPr>
            <w:tcW w:w="3599" w:type="dxa"/>
          </w:tcPr>
          <w:p w14:paraId="7350C0F4" w14:textId="77777777" w:rsidR="008260A3" w:rsidRDefault="008260A3" w:rsidP="000D5361">
            <w:pPr>
              <w:cnfStyle w:val="100000000000" w:firstRow="1" w:lastRow="0" w:firstColumn="0" w:lastColumn="0" w:oddVBand="0" w:evenVBand="0" w:oddHBand="0" w:evenHBand="0" w:firstRowFirstColumn="0" w:firstRowLastColumn="0" w:lastRowFirstColumn="0" w:lastRowLastColumn="0"/>
              <w:rPr>
                <w:rFonts w:cstheme="minorHAnsi"/>
              </w:rPr>
            </w:pPr>
            <w:r>
              <w:t>Modification</w:t>
            </w:r>
          </w:p>
        </w:tc>
        <w:tc>
          <w:tcPr>
            <w:tcW w:w="2317" w:type="dxa"/>
          </w:tcPr>
          <w:p w14:paraId="7C074719" w14:textId="77777777" w:rsidR="008260A3" w:rsidRDefault="008260A3" w:rsidP="000D5361">
            <w:pPr>
              <w:cnfStyle w:val="100000000000" w:firstRow="1" w:lastRow="0" w:firstColumn="0" w:lastColumn="0" w:oddVBand="0" w:evenVBand="0" w:oddHBand="0" w:evenHBand="0" w:firstRowFirstColumn="0" w:firstRowLastColumn="0" w:lastRowFirstColumn="0" w:lastRowLastColumn="0"/>
              <w:rPr>
                <w:rFonts w:cstheme="minorHAnsi"/>
              </w:rPr>
            </w:pPr>
            <w:r>
              <w:t>Modifier</w:t>
            </w:r>
          </w:p>
        </w:tc>
      </w:tr>
      <w:tr w:rsidR="00375211" w14:paraId="06497BFA" w14:textId="77777777" w:rsidTr="0037521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45" w:type="dxa"/>
            <w:hideMark/>
          </w:tcPr>
          <w:p w14:paraId="026E9B3C" w14:textId="77777777" w:rsidR="00375211" w:rsidRDefault="00375211">
            <w:pPr>
              <w:rPr>
                <w:b w:val="0"/>
                <w:bCs w:val="0"/>
              </w:rPr>
            </w:pPr>
            <w:r>
              <w:rPr>
                <w:rFonts w:ascii="Calibri" w:hAnsi="Calibri" w:cs="Times New Roman"/>
                <w:b w:val="0"/>
                <w:color w:val="0000FF"/>
              </w:rPr>
              <w:t>[Date]</w:t>
            </w:r>
          </w:p>
        </w:tc>
        <w:tc>
          <w:tcPr>
            <w:tcW w:w="1689" w:type="dxa"/>
            <w:hideMark/>
          </w:tcPr>
          <w:p w14:paraId="684608AA" w14:textId="77777777" w:rsidR="00375211" w:rsidRDefault="00375211">
            <w:pPr>
              <w:cnfStyle w:val="000000100000" w:firstRow="0" w:lastRow="0" w:firstColumn="0" w:lastColumn="0" w:oddVBand="0" w:evenVBand="0" w:oddHBand="1" w:evenHBand="0" w:firstRowFirstColumn="0" w:firstRowLastColumn="0" w:lastRowFirstColumn="0" w:lastRowLastColumn="0"/>
              <w:rPr>
                <w:b/>
                <w:bCs/>
              </w:rPr>
            </w:pPr>
            <w:r>
              <w:rPr>
                <w:rFonts w:ascii="Calibri" w:hAnsi="Calibri"/>
                <w:iCs/>
                <w:color w:val="0000FF"/>
              </w:rPr>
              <w:t>[Version du document]</w:t>
            </w:r>
          </w:p>
        </w:tc>
        <w:tc>
          <w:tcPr>
            <w:tcW w:w="3599" w:type="dxa"/>
            <w:hideMark/>
          </w:tcPr>
          <w:p w14:paraId="61C7409E" w14:textId="77777777" w:rsidR="00375211" w:rsidRDefault="00375211">
            <w:pPr>
              <w:cnfStyle w:val="000000100000" w:firstRow="0" w:lastRow="0" w:firstColumn="0" w:lastColumn="0" w:oddVBand="0" w:evenVBand="0" w:oddHBand="1" w:evenHBand="0" w:firstRowFirstColumn="0" w:firstRowLastColumn="0" w:lastRowFirstColumn="0" w:lastRowLastColumn="0"/>
            </w:pPr>
            <w:r>
              <w:rPr>
                <w:rFonts w:ascii="Calibri" w:hAnsi="Calibri"/>
                <w:iCs/>
                <w:color w:val="0000FF"/>
              </w:rPr>
              <w:t>[Description des changements]</w:t>
            </w:r>
          </w:p>
        </w:tc>
        <w:tc>
          <w:tcPr>
            <w:tcW w:w="2317" w:type="dxa"/>
            <w:hideMark/>
          </w:tcPr>
          <w:p w14:paraId="3406DC98" w14:textId="77777777" w:rsidR="00375211" w:rsidRDefault="00375211">
            <w:pPr>
              <w:cnfStyle w:val="000000100000" w:firstRow="0" w:lastRow="0" w:firstColumn="0" w:lastColumn="0" w:oddVBand="0" w:evenVBand="0" w:oddHBand="1" w:evenHBand="0" w:firstRowFirstColumn="0" w:firstRowLastColumn="0" w:lastRowFirstColumn="0" w:lastRowLastColumn="0"/>
            </w:pPr>
            <w:r>
              <w:rPr>
                <w:rFonts w:ascii="Calibri" w:hAnsi="Calibri" w:cs="Times New Roman"/>
                <w:color w:val="0000FF"/>
              </w:rPr>
              <w:t>[Nom de l'éditeur]</w:t>
            </w:r>
          </w:p>
        </w:tc>
      </w:tr>
      <w:tr w:rsidR="008260A3" w:rsidRPr="00BC3C41" w14:paraId="664C251C" w14:textId="77777777" w:rsidTr="00570D21">
        <w:trPr>
          <w:trHeight w:val="267"/>
        </w:trPr>
        <w:tc>
          <w:tcPr>
            <w:cnfStyle w:val="001000000000" w:firstRow="0" w:lastRow="0" w:firstColumn="1" w:lastColumn="0" w:oddVBand="0" w:evenVBand="0" w:oddHBand="0" w:evenHBand="0" w:firstRowFirstColumn="0" w:firstRowLastColumn="0" w:lastRowFirstColumn="0" w:lastRowLastColumn="0"/>
            <w:tcW w:w="1745" w:type="dxa"/>
          </w:tcPr>
          <w:p w14:paraId="60481412" w14:textId="77777777" w:rsidR="008260A3" w:rsidRPr="00BC3C41" w:rsidRDefault="008260A3" w:rsidP="000D5361">
            <w:pPr>
              <w:rPr>
                <w:rFonts w:cstheme="minorHAnsi"/>
                <w:b w:val="0"/>
              </w:rPr>
            </w:pPr>
          </w:p>
        </w:tc>
        <w:tc>
          <w:tcPr>
            <w:tcW w:w="1689" w:type="dxa"/>
          </w:tcPr>
          <w:p w14:paraId="4836E7D5" w14:textId="77777777" w:rsidR="008260A3" w:rsidRDefault="008260A3" w:rsidP="000D5361">
            <w:pPr>
              <w:cnfStyle w:val="000000000000" w:firstRow="0" w:lastRow="0" w:firstColumn="0" w:lastColumn="0" w:oddVBand="0" w:evenVBand="0" w:oddHBand="0" w:evenHBand="0" w:firstRowFirstColumn="0" w:firstRowLastColumn="0" w:lastRowFirstColumn="0" w:lastRowLastColumn="0"/>
              <w:rPr>
                <w:rFonts w:cstheme="minorHAnsi"/>
              </w:rPr>
            </w:pPr>
          </w:p>
        </w:tc>
        <w:tc>
          <w:tcPr>
            <w:tcW w:w="3599" w:type="dxa"/>
          </w:tcPr>
          <w:p w14:paraId="7D68A26D" w14:textId="77777777" w:rsidR="008260A3" w:rsidRDefault="008260A3" w:rsidP="000D5361">
            <w:pP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tcPr>
          <w:p w14:paraId="322C3DD0" w14:textId="77777777" w:rsidR="008260A3" w:rsidRDefault="008260A3" w:rsidP="000D5361">
            <w:pPr>
              <w:cnfStyle w:val="000000000000" w:firstRow="0" w:lastRow="0" w:firstColumn="0" w:lastColumn="0" w:oddVBand="0" w:evenVBand="0" w:oddHBand="0" w:evenHBand="0" w:firstRowFirstColumn="0" w:firstRowLastColumn="0" w:lastRowFirstColumn="0" w:lastRowLastColumn="0"/>
              <w:rPr>
                <w:rFonts w:cstheme="minorHAnsi"/>
              </w:rPr>
            </w:pPr>
          </w:p>
        </w:tc>
      </w:tr>
      <w:tr w:rsidR="008260A3" w:rsidRPr="00BC3C41" w14:paraId="237025F7" w14:textId="77777777" w:rsidTr="00570D2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45" w:type="dxa"/>
          </w:tcPr>
          <w:p w14:paraId="12388721" w14:textId="77777777" w:rsidR="008260A3" w:rsidRPr="00BC3C41" w:rsidRDefault="008260A3" w:rsidP="000D5361">
            <w:pPr>
              <w:rPr>
                <w:rFonts w:cstheme="minorHAnsi"/>
                <w:b w:val="0"/>
              </w:rPr>
            </w:pPr>
          </w:p>
        </w:tc>
        <w:tc>
          <w:tcPr>
            <w:tcW w:w="1689" w:type="dxa"/>
          </w:tcPr>
          <w:p w14:paraId="1DA4BC4E" w14:textId="77777777" w:rsidR="008260A3" w:rsidRDefault="008260A3" w:rsidP="000D5361">
            <w:pPr>
              <w:cnfStyle w:val="000000100000" w:firstRow="0" w:lastRow="0" w:firstColumn="0" w:lastColumn="0" w:oddVBand="0" w:evenVBand="0" w:oddHBand="1" w:evenHBand="0" w:firstRowFirstColumn="0" w:firstRowLastColumn="0" w:lastRowFirstColumn="0" w:lastRowLastColumn="0"/>
              <w:rPr>
                <w:rFonts w:cstheme="minorHAnsi"/>
              </w:rPr>
            </w:pPr>
          </w:p>
        </w:tc>
        <w:tc>
          <w:tcPr>
            <w:tcW w:w="3599" w:type="dxa"/>
          </w:tcPr>
          <w:p w14:paraId="53D8C278" w14:textId="77777777" w:rsidR="008260A3" w:rsidRDefault="008260A3" w:rsidP="000D5361">
            <w:pPr>
              <w:cnfStyle w:val="000000100000" w:firstRow="0" w:lastRow="0" w:firstColumn="0" w:lastColumn="0" w:oddVBand="0" w:evenVBand="0" w:oddHBand="1" w:evenHBand="0" w:firstRowFirstColumn="0" w:firstRowLastColumn="0" w:lastRowFirstColumn="0" w:lastRowLastColumn="0"/>
              <w:rPr>
                <w:rFonts w:cstheme="minorHAnsi"/>
              </w:rPr>
            </w:pPr>
          </w:p>
        </w:tc>
        <w:tc>
          <w:tcPr>
            <w:tcW w:w="2317" w:type="dxa"/>
          </w:tcPr>
          <w:p w14:paraId="3DA95008" w14:textId="77777777" w:rsidR="008260A3" w:rsidRDefault="008260A3" w:rsidP="000D5361">
            <w:pPr>
              <w:cnfStyle w:val="000000100000" w:firstRow="0" w:lastRow="0" w:firstColumn="0" w:lastColumn="0" w:oddVBand="0" w:evenVBand="0" w:oddHBand="1" w:evenHBand="0" w:firstRowFirstColumn="0" w:firstRowLastColumn="0" w:lastRowFirstColumn="0" w:lastRowLastColumn="0"/>
              <w:rPr>
                <w:rFonts w:cstheme="minorHAnsi"/>
              </w:rPr>
            </w:pPr>
          </w:p>
        </w:tc>
      </w:tr>
      <w:tr w:rsidR="008260A3" w:rsidRPr="00BC3C41" w14:paraId="5336FB52" w14:textId="77777777" w:rsidTr="00570D21">
        <w:trPr>
          <w:trHeight w:val="267"/>
        </w:trPr>
        <w:tc>
          <w:tcPr>
            <w:cnfStyle w:val="001000000000" w:firstRow="0" w:lastRow="0" w:firstColumn="1" w:lastColumn="0" w:oddVBand="0" w:evenVBand="0" w:oddHBand="0" w:evenHBand="0" w:firstRowFirstColumn="0" w:firstRowLastColumn="0" w:lastRowFirstColumn="0" w:lastRowLastColumn="0"/>
            <w:tcW w:w="1745" w:type="dxa"/>
          </w:tcPr>
          <w:p w14:paraId="206D2D27" w14:textId="77777777" w:rsidR="008260A3" w:rsidRPr="00BC3C41" w:rsidRDefault="008260A3" w:rsidP="000D5361">
            <w:pPr>
              <w:rPr>
                <w:rFonts w:cstheme="minorHAnsi"/>
                <w:b w:val="0"/>
              </w:rPr>
            </w:pPr>
          </w:p>
        </w:tc>
        <w:tc>
          <w:tcPr>
            <w:tcW w:w="1689" w:type="dxa"/>
          </w:tcPr>
          <w:p w14:paraId="176A0265" w14:textId="77777777" w:rsidR="008260A3" w:rsidRDefault="008260A3" w:rsidP="000D5361">
            <w:pPr>
              <w:cnfStyle w:val="000000000000" w:firstRow="0" w:lastRow="0" w:firstColumn="0" w:lastColumn="0" w:oddVBand="0" w:evenVBand="0" w:oddHBand="0" w:evenHBand="0" w:firstRowFirstColumn="0" w:firstRowLastColumn="0" w:lastRowFirstColumn="0" w:lastRowLastColumn="0"/>
              <w:rPr>
                <w:rFonts w:cstheme="minorHAnsi"/>
              </w:rPr>
            </w:pPr>
          </w:p>
        </w:tc>
        <w:tc>
          <w:tcPr>
            <w:tcW w:w="3599" w:type="dxa"/>
          </w:tcPr>
          <w:p w14:paraId="58EA8C45" w14:textId="77777777" w:rsidR="008260A3" w:rsidRDefault="008260A3" w:rsidP="000D5361">
            <w:pP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tcPr>
          <w:p w14:paraId="39141A05" w14:textId="77777777" w:rsidR="008260A3" w:rsidRDefault="008260A3" w:rsidP="000D5361">
            <w:pPr>
              <w:cnfStyle w:val="000000000000" w:firstRow="0" w:lastRow="0" w:firstColumn="0" w:lastColumn="0" w:oddVBand="0" w:evenVBand="0" w:oddHBand="0" w:evenHBand="0" w:firstRowFirstColumn="0" w:firstRowLastColumn="0" w:lastRowFirstColumn="0" w:lastRowLastColumn="0"/>
              <w:rPr>
                <w:rFonts w:cstheme="minorHAnsi"/>
              </w:rPr>
            </w:pPr>
          </w:p>
        </w:tc>
      </w:tr>
      <w:tr w:rsidR="008260A3" w:rsidRPr="00BC3C41" w14:paraId="2F428FD3" w14:textId="77777777" w:rsidTr="00570D2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45" w:type="dxa"/>
          </w:tcPr>
          <w:p w14:paraId="7F5459E5" w14:textId="77777777" w:rsidR="008260A3" w:rsidRPr="00BC3C41" w:rsidRDefault="008260A3" w:rsidP="000D5361">
            <w:pPr>
              <w:rPr>
                <w:rFonts w:cstheme="minorHAnsi"/>
                <w:b w:val="0"/>
              </w:rPr>
            </w:pPr>
          </w:p>
        </w:tc>
        <w:tc>
          <w:tcPr>
            <w:tcW w:w="1689" w:type="dxa"/>
          </w:tcPr>
          <w:p w14:paraId="62098F9D" w14:textId="77777777" w:rsidR="008260A3" w:rsidRDefault="008260A3" w:rsidP="000D5361">
            <w:pPr>
              <w:cnfStyle w:val="000000100000" w:firstRow="0" w:lastRow="0" w:firstColumn="0" w:lastColumn="0" w:oddVBand="0" w:evenVBand="0" w:oddHBand="1" w:evenHBand="0" w:firstRowFirstColumn="0" w:firstRowLastColumn="0" w:lastRowFirstColumn="0" w:lastRowLastColumn="0"/>
              <w:rPr>
                <w:rFonts w:cstheme="minorHAnsi"/>
              </w:rPr>
            </w:pPr>
          </w:p>
        </w:tc>
        <w:tc>
          <w:tcPr>
            <w:tcW w:w="3599" w:type="dxa"/>
          </w:tcPr>
          <w:p w14:paraId="23D769C1" w14:textId="77777777" w:rsidR="008260A3" w:rsidRDefault="008260A3" w:rsidP="000D5361">
            <w:pPr>
              <w:cnfStyle w:val="000000100000" w:firstRow="0" w:lastRow="0" w:firstColumn="0" w:lastColumn="0" w:oddVBand="0" w:evenVBand="0" w:oddHBand="1" w:evenHBand="0" w:firstRowFirstColumn="0" w:firstRowLastColumn="0" w:lastRowFirstColumn="0" w:lastRowLastColumn="0"/>
              <w:rPr>
                <w:rFonts w:cstheme="minorHAnsi"/>
              </w:rPr>
            </w:pPr>
          </w:p>
        </w:tc>
        <w:tc>
          <w:tcPr>
            <w:tcW w:w="2317" w:type="dxa"/>
          </w:tcPr>
          <w:p w14:paraId="1A00E449" w14:textId="77777777" w:rsidR="008260A3" w:rsidRDefault="008260A3" w:rsidP="000D5361">
            <w:pPr>
              <w:cnfStyle w:val="000000100000" w:firstRow="0" w:lastRow="0" w:firstColumn="0" w:lastColumn="0" w:oddVBand="0" w:evenVBand="0" w:oddHBand="1" w:evenHBand="0" w:firstRowFirstColumn="0" w:firstRowLastColumn="0" w:lastRowFirstColumn="0" w:lastRowLastColumn="0"/>
              <w:rPr>
                <w:rFonts w:cstheme="minorHAnsi"/>
              </w:rPr>
            </w:pPr>
          </w:p>
        </w:tc>
      </w:tr>
      <w:tr w:rsidR="008260A3" w:rsidRPr="00BC3C41" w14:paraId="2B5D77D5" w14:textId="77777777" w:rsidTr="00570D21">
        <w:trPr>
          <w:trHeight w:val="267"/>
        </w:trPr>
        <w:tc>
          <w:tcPr>
            <w:cnfStyle w:val="001000000000" w:firstRow="0" w:lastRow="0" w:firstColumn="1" w:lastColumn="0" w:oddVBand="0" w:evenVBand="0" w:oddHBand="0" w:evenHBand="0" w:firstRowFirstColumn="0" w:firstRowLastColumn="0" w:lastRowFirstColumn="0" w:lastRowLastColumn="0"/>
            <w:tcW w:w="1745" w:type="dxa"/>
          </w:tcPr>
          <w:p w14:paraId="27945A2F" w14:textId="77777777" w:rsidR="008260A3" w:rsidRPr="00BC3C41" w:rsidRDefault="008260A3" w:rsidP="000D5361">
            <w:pPr>
              <w:rPr>
                <w:rFonts w:cstheme="minorHAnsi"/>
                <w:b w:val="0"/>
              </w:rPr>
            </w:pPr>
          </w:p>
        </w:tc>
        <w:tc>
          <w:tcPr>
            <w:tcW w:w="1689" w:type="dxa"/>
          </w:tcPr>
          <w:p w14:paraId="01549053" w14:textId="77777777" w:rsidR="008260A3" w:rsidRDefault="008260A3" w:rsidP="000D5361">
            <w:pPr>
              <w:cnfStyle w:val="000000000000" w:firstRow="0" w:lastRow="0" w:firstColumn="0" w:lastColumn="0" w:oddVBand="0" w:evenVBand="0" w:oddHBand="0" w:evenHBand="0" w:firstRowFirstColumn="0" w:firstRowLastColumn="0" w:lastRowFirstColumn="0" w:lastRowLastColumn="0"/>
              <w:rPr>
                <w:rFonts w:cstheme="minorHAnsi"/>
              </w:rPr>
            </w:pPr>
          </w:p>
        </w:tc>
        <w:tc>
          <w:tcPr>
            <w:tcW w:w="3599" w:type="dxa"/>
          </w:tcPr>
          <w:p w14:paraId="24316C10" w14:textId="77777777" w:rsidR="008260A3" w:rsidRDefault="008260A3" w:rsidP="000D5361">
            <w:pPr>
              <w:cnfStyle w:val="000000000000" w:firstRow="0" w:lastRow="0" w:firstColumn="0" w:lastColumn="0" w:oddVBand="0" w:evenVBand="0" w:oddHBand="0" w:evenHBand="0" w:firstRowFirstColumn="0" w:firstRowLastColumn="0" w:lastRowFirstColumn="0" w:lastRowLastColumn="0"/>
              <w:rPr>
                <w:rFonts w:cstheme="minorHAnsi"/>
              </w:rPr>
            </w:pPr>
          </w:p>
        </w:tc>
        <w:tc>
          <w:tcPr>
            <w:tcW w:w="2317" w:type="dxa"/>
          </w:tcPr>
          <w:p w14:paraId="170B663A" w14:textId="77777777" w:rsidR="008260A3" w:rsidRDefault="008260A3" w:rsidP="000D5361">
            <w:pPr>
              <w:cnfStyle w:val="000000000000" w:firstRow="0" w:lastRow="0" w:firstColumn="0" w:lastColumn="0" w:oddVBand="0" w:evenVBand="0" w:oddHBand="0" w:evenHBand="0" w:firstRowFirstColumn="0" w:firstRowLastColumn="0" w:lastRowFirstColumn="0" w:lastRowLastColumn="0"/>
              <w:rPr>
                <w:rFonts w:cstheme="minorHAnsi"/>
              </w:rPr>
            </w:pPr>
          </w:p>
        </w:tc>
      </w:tr>
      <w:tr w:rsidR="008260A3" w:rsidRPr="00BC3C41" w14:paraId="432C0893" w14:textId="77777777" w:rsidTr="00570D2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1745" w:type="dxa"/>
          </w:tcPr>
          <w:p w14:paraId="3BCADD6A" w14:textId="77777777" w:rsidR="008260A3" w:rsidRPr="00BC3C41" w:rsidRDefault="008260A3" w:rsidP="000D5361">
            <w:pPr>
              <w:rPr>
                <w:rFonts w:cstheme="minorHAnsi"/>
                <w:b w:val="0"/>
              </w:rPr>
            </w:pPr>
          </w:p>
        </w:tc>
        <w:tc>
          <w:tcPr>
            <w:tcW w:w="1689" w:type="dxa"/>
          </w:tcPr>
          <w:p w14:paraId="709D0216" w14:textId="77777777" w:rsidR="008260A3" w:rsidRDefault="008260A3" w:rsidP="000D5361">
            <w:pPr>
              <w:cnfStyle w:val="000000100000" w:firstRow="0" w:lastRow="0" w:firstColumn="0" w:lastColumn="0" w:oddVBand="0" w:evenVBand="0" w:oddHBand="1" w:evenHBand="0" w:firstRowFirstColumn="0" w:firstRowLastColumn="0" w:lastRowFirstColumn="0" w:lastRowLastColumn="0"/>
              <w:rPr>
                <w:rFonts w:cstheme="minorHAnsi"/>
              </w:rPr>
            </w:pPr>
          </w:p>
        </w:tc>
        <w:tc>
          <w:tcPr>
            <w:tcW w:w="3599" w:type="dxa"/>
          </w:tcPr>
          <w:p w14:paraId="5265EE97" w14:textId="77777777" w:rsidR="008260A3" w:rsidRDefault="008260A3" w:rsidP="000D5361">
            <w:pPr>
              <w:cnfStyle w:val="000000100000" w:firstRow="0" w:lastRow="0" w:firstColumn="0" w:lastColumn="0" w:oddVBand="0" w:evenVBand="0" w:oddHBand="1" w:evenHBand="0" w:firstRowFirstColumn="0" w:firstRowLastColumn="0" w:lastRowFirstColumn="0" w:lastRowLastColumn="0"/>
              <w:rPr>
                <w:rFonts w:cstheme="minorHAnsi"/>
              </w:rPr>
            </w:pPr>
          </w:p>
        </w:tc>
        <w:tc>
          <w:tcPr>
            <w:tcW w:w="2317" w:type="dxa"/>
          </w:tcPr>
          <w:p w14:paraId="2B7F0693" w14:textId="77777777" w:rsidR="008260A3" w:rsidRDefault="008260A3" w:rsidP="000D5361">
            <w:pPr>
              <w:cnfStyle w:val="000000100000" w:firstRow="0" w:lastRow="0" w:firstColumn="0" w:lastColumn="0" w:oddVBand="0" w:evenVBand="0" w:oddHBand="1" w:evenHBand="0" w:firstRowFirstColumn="0" w:firstRowLastColumn="0" w:lastRowFirstColumn="0" w:lastRowLastColumn="0"/>
              <w:rPr>
                <w:rFonts w:cstheme="minorHAnsi"/>
              </w:rPr>
            </w:pPr>
          </w:p>
        </w:tc>
      </w:tr>
    </w:tbl>
    <w:bookmarkEnd w:id="1"/>
    <w:p w14:paraId="2BD1E2C9" w14:textId="5DE65D6B" w:rsidR="00447D85" w:rsidRDefault="002603E6" w:rsidP="000D5361">
      <w:pPr>
        <w:pStyle w:val="Heading1"/>
      </w:pPr>
      <w:r>
        <w:t>Portée</w:t>
      </w:r>
    </w:p>
    <w:p w14:paraId="021DE71C" w14:textId="470E677E" w:rsidR="00570C0C" w:rsidRPr="00375211" w:rsidRDefault="00375211" w:rsidP="000D5361">
      <w:pPr>
        <w:rPr>
          <w:rFonts w:ascii="Calibri" w:eastAsia="Malgun Gothic" w:hAnsi="Calibri" w:cs="Times New Roman"/>
          <w:iCs/>
          <w:color w:val="0000FF"/>
        </w:rPr>
      </w:pPr>
      <w:bookmarkStart w:id="2" w:name="_Toc75784168"/>
      <w:bookmarkStart w:id="3" w:name="_Toc75784420"/>
      <w:bookmarkStart w:id="4" w:name="_Toc76110554"/>
      <w:bookmarkStart w:id="5" w:name="_Toc76549037"/>
      <w:bookmarkStart w:id="6" w:name="_Toc76979950"/>
      <w:bookmarkStart w:id="7" w:name="_Toc76980076"/>
      <w:r>
        <w:rPr>
          <w:b/>
          <w:bCs/>
          <w:iCs/>
          <w:color w:val="0426CE"/>
        </w:rPr>
        <w:t>Instructions </w:t>
      </w:r>
      <w:r w:rsidRPr="00375211">
        <w:rPr>
          <w:iCs/>
          <w:color w:val="0426CE"/>
        </w:rPr>
        <w:t>:</w:t>
      </w:r>
      <w:r>
        <w:rPr>
          <w:i/>
          <w:color w:val="0426CE"/>
        </w:rPr>
        <w:t xml:space="preserve"> </w:t>
      </w:r>
      <w:r w:rsidR="00570C0C" w:rsidRPr="00375211">
        <w:rPr>
          <w:rFonts w:ascii="Calibri" w:hAnsi="Calibri"/>
          <w:iCs/>
          <w:color w:val="0000FF"/>
        </w:rPr>
        <w:t>Insérer votre déclaration de portée ou utiliser l’exemple fourni.</w:t>
      </w:r>
    </w:p>
    <w:p w14:paraId="6082CF53" w14:textId="29E2C036" w:rsidR="000D5361" w:rsidRPr="00375211" w:rsidRDefault="005B6CE7" w:rsidP="00375211">
      <w:pPr>
        <w:ind w:left="720"/>
        <w:rPr>
          <w:iCs/>
          <w:highlight w:val="yellow"/>
        </w:rPr>
      </w:pPr>
      <w:r w:rsidRPr="00375211">
        <w:rPr>
          <w:iCs/>
        </w:rPr>
        <w:t xml:space="preserve">Cette politique vise tous les employés, entrepreneurs et affiliés de </w:t>
      </w:r>
      <w:r w:rsidRPr="00375211">
        <w:rPr>
          <w:iCs/>
          <w:highlight w:val="yellow"/>
        </w:rPr>
        <w:t>[</w:t>
      </w:r>
      <w:r w:rsidR="00375211" w:rsidRPr="00375211">
        <w:rPr>
          <w:iCs/>
          <w:highlight w:val="yellow"/>
        </w:rPr>
        <w:t>Nom de l’</w:t>
      </w:r>
      <w:r w:rsidR="00886027">
        <w:rPr>
          <w:iCs/>
          <w:highlight w:val="yellow"/>
        </w:rPr>
        <w:t>e</w:t>
      </w:r>
      <w:r w:rsidR="00375211" w:rsidRPr="00375211">
        <w:rPr>
          <w:iCs/>
          <w:highlight w:val="yellow"/>
        </w:rPr>
        <w:t>ntreprise]</w:t>
      </w:r>
      <w:r w:rsidRPr="00375211">
        <w:rPr>
          <w:iCs/>
        </w:rPr>
        <w:t xml:space="preserve"> qui ont un compte général ou administratif sur les appareils et systèmes </w:t>
      </w:r>
      <w:r w:rsidR="00647F0B" w:rsidRPr="00375211">
        <w:rPr>
          <w:iCs/>
        </w:rPr>
        <w:t>d</w:t>
      </w:r>
      <w:r w:rsidRPr="00375211">
        <w:rPr>
          <w:iCs/>
        </w:rPr>
        <w:t xml:space="preserve">e </w:t>
      </w:r>
      <w:r w:rsidRPr="00375211">
        <w:rPr>
          <w:iCs/>
          <w:highlight w:val="yellow"/>
        </w:rPr>
        <w:t>[</w:t>
      </w:r>
      <w:r w:rsidR="00375211" w:rsidRPr="00375211">
        <w:rPr>
          <w:iCs/>
          <w:highlight w:val="yellow"/>
        </w:rPr>
        <w:t>Nom de l’</w:t>
      </w:r>
      <w:r w:rsidR="00886027">
        <w:rPr>
          <w:iCs/>
          <w:highlight w:val="yellow"/>
        </w:rPr>
        <w:t>e</w:t>
      </w:r>
      <w:r w:rsidR="00375211" w:rsidRPr="00375211">
        <w:rPr>
          <w:iCs/>
          <w:highlight w:val="yellow"/>
        </w:rPr>
        <w:t>ntreprise</w:t>
      </w:r>
      <w:r w:rsidRPr="00375211">
        <w:rPr>
          <w:iCs/>
          <w:highlight w:val="yellow"/>
        </w:rPr>
        <w:t>]</w:t>
      </w:r>
      <w:r w:rsidRPr="00375211">
        <w:rPr>
          <w:iCs/>
        </w:rPr>
        <w:t>.</w:t>
      </w:r>
    </w:p>
    <w:bookmarkEnd w:id="2"/>
    <w:bookmarkEnd w:id="3"/>
    <w:bookmarkEnd w:id="4"/>
    <w:bookmarkEnd w:id="5"/>
    <w:bookmarkEnd w:id="6"/>
    <w:bookmarkEnd w:id="7"/>
    <w:p w14:paraId="562708DE" w14:textId="75C9F9D8" w:rsidR="00BE7ED5" w:rsidRDefault="00423033" w:rsidP="000D5361">
      <w:pPr>
        <w:pStyle w:val="Heading1"/>
      </w:pPr>
      <w:r>
        <w:t>Tous les comptes</w:t>
      </w:r>
    </w:p>
    <w:p w14:paraId="5261DE9D" w14:textId="69EAA3B2" w:rsidR="00CA3CE1" w:rsidRPr="00375211" w:rsidRDefault="00375211" w:rsidP="000D5361">
      <w:pPr>
        <w:rPr>
          <w:rFonts w:ascii="Calibri" w:eastAsia="Malgun Gothic" w:hAnsi="Calibri" w:cs="Times New Roman"/>
          <w:iCs/>
          <w:color w:val="0000FF"/>
        </w:rPr>
      </w:pPr>
      <w:r>
        <w:rPr>
          <w:b/>
          <w:bCs/>
          <w:iCs/>
          <w:color w:val="0426CE"/>
        </w:rPr>
        <w:t>Instructions </w:t>
      </w:r>
      <w:r w:rsidRPr="00375211">
        <w:rPr>
          <w:iCs/>
          <w:color w:val="0426CE"/>
        </w:rPr>
        <w:t>:</w:t>
      </w:r>
      <w:r>
        <w:rPr>
          <w:i/>
          <w:color w:val="0426CE"/>
        </w:rPr>
        <w:t xml:space="preserve"> </w:t>
      </w:r>
      <w:r w:rsidR="00CA3CE1" w:rsidRPr="00375211">
        <w:rPr>
          <w:rFonts w:ascii="Calibri" w:hAnsi="Calibri"/>
          <w:iCs/>
          <w:color w:val="0000FF"/>
        </w:rPr>
        <w:t>Insérer vos déclarations de politique de tous les comptes ci-dessous; vous pouvez également utiliser l'exemple fourni.</w:t>
      </w:r>
    </w:p>
    <w:p w14:paraId="7449F86B" w14:textId="77777777" w:rsidR="000D5361" w:rsidRPr="00375211" w:rsidRDefault="00BE7ED5" w:rsidP="000D5361">
      <w:pPr>
        <w:pStyle w:val="ListParagraph"/>
        <w:numPr>
          <w:ilvl w:val="0"/>
          <w:numId w:val="19"/>
        </w:numPr>
        <w:spacing w:line="256" w:lineRule="auto"/>
        <w:rPr>
          <w:iCs/>
        </w:rPr>
      </w:pPr>
      <w:r w:rsidRPr="00375211">
        <w:rPr>
          <w:iCs/>
        </w:rPr>
        <w:t>Les comptes disposent uniquement des outils administratifs de base.</w:t>
      </w:r>
    </w:p>
    <w:p w14:paraId="41CD7BF1" w14:textId="7CA8D6EB" w:rsidR="00BE7ED5" w:rsidRPr="00375211" w:rsidRDefault="00BE7ED5" w:rsidP="000D5361">
      <w:pPr>
        <w:pStyle w:val="ListParagraph"/>
        <w:numPr>
          <w:ilvl w:val="0"/>
          <w:numId w:val="19"/>
        </w:numPr>
        <w:spacing w:line="256" w:lineRule="auto"/>
        <w:rPr>
          <w:iCs/>
        </w:rPr>
      </w:pPr>
      <w:r w:rsidRPr="00375211">
        <w:rPr>
          <w:iCs/>
        </w:rPr>
        <w:t>L’accès de partage du réseau est limité et contrôlé.</w:t>
      </w:r>
    </w:p>
    <w:p w14:paraId="34577C15" w14:textId="77777777" w:rsidR="000D5361" w:rsidRPr="00375211" w:rsidRDefault="00BE7ED5" w:rsidP="000D5361">
      <w:pPr>
        <w:pStyle w:val="ListParagraph"/>
        <w:numPr>
          <w:ilvl w:val="0"/>
          <w:numId w:val="19"/>
        </w:numPr>
        <w:spacing w:line="256" w:lineRule="auto"/>
        <w:rPr>
          <w:iCs/>
        </w:rPr>
      </w:pPr>
      <w:r w:rsidRPr="00375211">
        <w:rPr>
          <w:iCs/>
        </w:rPr>
        <w:t>Les utilisateurs doivent être authentifiés avant d’avoir accès à un compte.</w:t>
      </w:r>
    </w:p>
    <w:p w14:paraId="03D6A2D4" w14:textId="77777777" w:rsidR="000D5361" w:rsidRPr="00375211" w:rsidRDefault="00BE7ED5" w:rsidP="000D5361">
      <w:pPr>
        <w:pStyle w:val="ListParagraph"/>
        <w:numPr>
          <w:ilvl w:val="0"/>
          <w:numId w:val="19"/>
        </w:numPr>
        <w:spacing w:line="256" w:lineRule="auto"/>
        <w:rPr>
          <w:iCs/>
        </w:rPr>
      </w:pPr>
      <w:r w:rsidRPr="00375211">
        <w:rPr>
          <w:iCs/>
        </w:rPr>
        <w:t>Tous les utilisateurs disposeront uniquement des privilèges d’accès au compte en fonction de leur rôle.</w:t>
      </w:r>
    </w:p>
    <w:p w14:paraId="1982D109" w14:textId="1B4010F1" w:rsidR="00BE7ED5" w:rsidRPr="00375211" w:rsidRDefault="00BE7ED5" w:rsidP="000D5361">
      <w:pPr>
        <w:pStyle w:val="ListParagraph"/>
        <w:numPr>
          <w:ilvl w:val="0"/>
          <w:numId w:val="19"/>
        </w:numPr>
        <w:spacing w:line="256" w:lineRule="auto"/>
        <w:rPr>
          <w:iCs/>
        </w:rPr>
      </w:pPr>
      <w:r w:rsidRPr="00375211">
        <w:rPr>
          <w:iCs/>
        </w:rPr>
        <w:t>Les comptes sont supprimés lorsque les employés quittent l’entreprise.</w:t>
      </w:r>
    </w:p>
    <w:p w14:paraId="0B4F5CF9" w14:textId="0033490B" w:rsidR="00550D82" w:rsidRPr="00266B5B" w:rsidRDefault="00423033" w:rsidP="000D5361">
      <w:pPr>
        <w:pStyle w:val="Heading1"/>
      </w:pPr>
      <w:r>
        <w:lastRenderedPageBreak/>
        <w:t>Comptes généraux</w:t>
      </w:r>
    </w:p>
    <w:p w14:paraId="6C0E13BE" w14:textId="6996D015" w:rsidR="000D5361" w:rsidRPr="00375211" w:rsidRDefault="00375211" w:rsidP="000D5361">
      <w:pPr>
        <w:jc w:val="both"/>
        <w:rPr>
          <w:iCs/>
          <w:color w:val="0000FF"/>
        </w:rPr>
      </w:pPr>
      <w:r>
        <w:rPr>
          <w:b/>
          <w:bCs/>
          <w:iCs/>
          <w:color w:val="0426CE"/>
        </w:rPr>
        <w:t>Instructions </w:t>
      </w:r>
      <w:r w:rsidRPr="00375211">
        <w:rPr>
          <w:iCs/>
          <w:color w:val="0426CE"/>
        </w:rPr>
        <w:t xml:space="preserve">: </w:t>
      </w:r>
      <w:r w:rsidR="007B1135" w:rsidRPr="00375211">
        <w:rPr>
          <w:iCs/>
          <w:color w:val="0000FF"/>
        </w:rPr>
        <w:t>Il est important de s'assurer que les comptes utilisateur généraux n'offrent pas les fonctions de compte administrateur. Les comptes administrateur doivent être limités à l'exécution d’activités administratives seulement. La vérification des courriels et la navigation sur Internet sont des exemples d'activités qui ne doivent pas être effectuées lorsque l’utilisateur est connecté en tant qu’administrateur.</w:t>
      </w:r>
    </w:p>
    <w:p w14:paraId="21697BB2" w14:textId="5C31581C" w:rsidR="000B4303" w:rsidRPr="00375211" w:rsidRDefault="000B4303" w:rsidP="000D5361">
      <w:pPr>
        <w:rPr>
          <w:rFonts w:ascii="Calibri" w:eastAsia="Malgun Gothic" w:hAnsi="Calibri" w:cs="Times New Roman"/>
          <w:iCs/>
          <w:color w:val="0000FF"/>
        </w:rPr>
      </w:pPr>
      <w:r w:rsidRPr="00375211">
        <w:rPr>
          <w:rFonts w:ascii="Calibri" w:hAnsi="Calibri"/>
          <w:iCs/>
          <w:color w:val="0000FF"/>
        </w:rPr>
        <w:t>Insérer vos déclarations de politique générale des comptes généraux ci-dessous. Vous pouvez également utiliser l'exemple ci-dessous.</w:t>
      </w:r>
    </w:p>
    <w:p w14:paraId="730088B7" w14:textId="77777777" w:rsidR="0029256B" w:rsidRPr="00375211" w:rsidRDefault="0029256B" w:rsidP="000D5361">
      <w:pPr>
        <w:rPr>
          <w:rFonts w:ascii="Calibri" w:eastAsia="Malgun Gothic" w:hAnsi="Calibri" w:cs="Times New Roman"/>
          <w:iCs/>
          <w:color w:val="0000FF"/>
        </w:rPr>
      </w:pPr>
      <w:r w:rsidRPr="00375211">
        <w:rPr>
          <w:rFonts w:ascii="Calibri" w:hAnsi="Calibri"/>
          <w:iCs/>
          <w:color w:val="0000FF"/>
        </w:rPr>
        <w:t>Dresser la liste des activités que peuvent effectuer les utilisateurs de comptes généraux.</w:t>
      </w:r>
    </w:p>
    <w:p w14:paraId="58F7CC3F" w14:textId="604E40F4" w:rsidR="0029256B" w:rsidRPr="00375211" w:rsidRDefault="0029256B" w:rsidP="000D5361">
      <w:pPr>
        <w:rPr>
          <w:rFonts w:ascii="Calibri" w:eastAsia="Malgun Gothic" w:hAnsi="Calibri" w:cs="Times New Roman"/>
          <w:iCs/>
          <w:color w:val="0000FF"/>
        </w:rPr>
      </w:pPr>
      <w:r w:rsidRPr="00375211">
        <w:rPr>
          <w:rFonts w:ascii="Calibri" w:hAnsi="Calibri"/>
          <w:iCs/>
          <w:color w:val="0000FF"/>
        </w:rPr>
        <w:t>Indiquer clairement que les utilisateurs de compte général disposent de privilèges d’accès inférieurs à ceux d’un compte administrateur.</w:t>
      </w:r>
    </w:p>
    <w:p w14:paraId="08CBC746" w14:textId="158B46BC" w:rsidR="000D5361" w:rsidRPr="00375211" w:rsidRDefault="00550D82" w:rsidP="000D5361">
      <w:pPr>
        <w:spacing w:line="256" w:lineRule="auto"/>
        <w:rPr>
          <w:iCs/>
        </w:rPr>
      </w:pPr>
      <w:r w:rsidRPr="00375211">
        <w:rPr>
          <w:iCs/>
        </w:rPr>
        <w:t xml:space="preserve">Les comptes généraux sont administrés par </w:t>
      </w:r>
      <w:r w:rsidRPr="00375211">
        <w:rPr>
          <w:iCs/>
          <w:highlight w:val="yellow"/>
        </w:rPr>
        <w:t>[</w:t>
      </w:r>
      <w:r w:rsidR="00375211" w:rsidRPr="00375211">
        <w:rPr>
          <w:iCs/>
          <w:highlight w:val="yellow"/>
        </w:rPr>
        <w:t>Nom de l’</w:t>
      </w:r>
      <w:r w:rsidR="00886027">
        <w:rPr>
          <w:iCs/>
          <w:highlight w:val="yellow"/>
        </w:rPr>
        <w:t>e</w:t>
      </w:r>
      <w:r w:rsidR="00375211" w:rsidRPr="00375211">
        <w:rPr>
          <w:iCs/>
          <w:highlight w:val="yellow"/>
        </w:rPr>
        <w:t>ntreprise</w:t>
      </w:r>
      <w:r w:rsidRPr="00375211">
        <w:rPr>
          <w:iCs/>
          <w:highlight w:val="yellow"/>
        </w:rPr>
        <w:t>]</w:t>
      </w:r>
      <w:r w:rsidRPr="00375211">
        <w:rPr>
          <w:iCs/>
        </w:rPr>
        <w:t xml:space="preserve"> et n’ont aucun droit d'administrateur.</w:t>
      </w:r>
    </w:p>
    <w:p w14:paraId="28B566CC" w14:textId="73185D9A" w:rsidR="004C735E" w:rsidRDefault="00423033" w:rsidP="000D5361">
      <w:pPr>
        <w:pStyle w:val="Heading1"/>
      </w:pPr>
      <w:r>
        <w:t>Comptes d’administrateur</w:t>
      </w:r>
    </w:p>
    <w:p w14:paraId="438D290B" w14:textId="7D215345" w:rsidR="00375211" w:rsidRPr="00375211" w:rsidRDefault="00375211" w:rsidP="00375211">
      <w:pPr>
        <w:rPr>
          <w:rFonts w:ascii="Calibri" w:eastAsia="Malgun Gothic" w:hAnsi="Calibri" w:cs="Times New Roman"/>
          <w:i/>
          <w:iCs/>
          <w:color w:val="0000FF"/>
        </w:rPr>
      </w:pPr>
      <w:r>
        <w:rPr>
          <w:b/>
          <w:bCs/>
          <w:iCs/>
          <w:color w:val="0426CE"/>
        </w:rPr>
        <w:t>Instructions </w:t>
      </w:r>
      <w:r w:rsidRPr="00375211">
        <w:rPr>
          <w:iCs/>
          <w:color w:val="0426CE"/>
        </w:rPr>
        <w:t>:</w:t>
      </w:r>
    </w:p>
    <w:p w14:paraId="7D6F8AE7" w14:textId="59B9AF76" w:rsidR="003361BF" w:rsidRPr="00375211" w:rsidRDefault="003361BF" w:rsidP="000D5361">
      <w:pPr>
        <w:pStyle w:val="ListParagraph"/>
        <w:numPr>
          <w:ilvl w:val="0"/>
          <w:numId w:val="26"/>
        </w:numPr>
        <w:rPr>
          <w:rFonts w:ascii="Calibri" w:eastAsia="Malgun Gothic" w:hAnsi="Calibri" w:cs="Times New Roman"/>
          <w:iCs/>
          <w:color w:val="0000FF"/>
        </w:rPr>
      </w:pPr>
      <w:r w:rsidRPr="00375211">
        <w:rPr>
          <w:rFonts w:ascii="Calibri" w:hAnsi="Calibri"/>
          <w:iCs/>
          <w:color w:val="0000FF"/>
        </w:rPr>
        <w:t>Déterminer les logiciels/systèmes informatiques auxquels s'appliquent les comptes administrateur.</w:t>
      </w:r>
    </w:p>
    <w:p w14:paraId="692CBD08" w14:textId="11AEE40D" w:rsidR="003361BF" w:rsidRPr="00375211" w:rsidRDefault="003361BF" w:rsidP="000D5361">
      <w:pPr>
        <w:pStyle w:val="ListParagraph"/>
        <w:numPr>
          <w:ilvl w:val="0"/>
          <w:numId w:val="26"/>
        </w:numPr>
        <w:rPr>
          <w:rFonts w:ascii="Calibri" w:eastAsia="Malgun Gothic" w:hAnsi="Calibri" w:cs="Times New Roman"/>
          <w:iCs/>
          <w:color w:val="0000FF"/>
        </w:rPr>
      </w:pPr>
      <w:r w:rsidRPr="00375211">
        <w:rPr>
          <w:rFonts w:ascii="Calibri" w:hAnsi="Calibri"/>
          <w:iCs/>
          <w:color w:val="0000FF"/>
        </w:rPr>
        <w:t>Identifier les personnes de votre entreprise qui auront un compte administrateur.</w:t>
      </w:r>
    </w:p>
    <w:p w14:paraId="274CC5FA" w14:textId="1B607A5A" w:rsidR="003361BF" w:rsidRPr="00375211" w:rsidRDefault="003361BF" w:rsidP="000D5361">
      <w:pPr>
        <w:pStyle w:val="ListParagraph"/>
        <w:numPr>
          <w:ilvl w:val="0"/>
          <w:numId w:val="26"/>
        </w:numPr>
        <w:rPr>
          <w:rFonts w:ascii="Calibri" w:eastAsia="Malgun Gothic" w:hAnsi="Calibri" w:cs="Times New Roman"/>
          <w:iCs/>
          <w:color w:val="0000FF"/>
        </w:rPr>
      </w:pPr>
      <w:r w:rsidRPr="00375211">
        <w:rPr>
          <w:rFonts w:ascii="Calibri" w:hAnsi="Calibri"/>
          <w:iCs/>
          <w:color w:val="0000FF"/>
        </w:rPr>
        <w:t>Déterminer et énumérer les pouvoirs et les activités d'un utilisateur de compte administrateur.</w:t>
      </w:r>
    </w:p>
    <w:p w14:paraId="591391E3" w14:textId="0FE67E80" w:rsidR="001004CE" w:rsidRPr="00375211" w:rsidRDefault="001004CE" w:rsidP="000D5361">
      <w:pPr>
        <w:pStyle w:val="ListParagraph"/>
        <w:numPr>
          <w:ilvl w:val="0"/>
          <w:numId w:val="26"/>
        </w:numPr>
        <w:rPr>
          <w:rFonts w:ascii="Calibri" w:eastAsia="Malgun Gothic" w:hAnsi="Calibri" w:cs="Times New Roman"/>
          <w:iCs/>
          <w:color w:val="0000FF"/>
        </w:rPr>
      </w:pPr>
      <w:r w:rsidRPr="00375211">
        <w:rPr>
          <w:rFonts w:ascii="Calibri" w:hAnsi="Calibri"/>
          <w:iCs/>
          <w:color w:val="0000FF"/>
        </w:rPr>
        <w:t>Insérer vos déclarations de politique générale des comptes administrateur ci-dessous. Vous pouvez également utiliser l'exemple ci-dessous.</w:t>
      </w:r>
    </w:p>
    <w:p w14:paraId="35365582" w14:textId="204CC9BA" w:rsidR="000D5361" w:rsidRPr="00375211" w:rsidRDefault="003361BF" w:rsidP="000D5361">
      <w:pPr>
        <w:pStyle w:val="ListParagraph"/>
        <w:numPr>
          <w:ilvl w:val="0"/>
          <w:numId w:val="25"/>
        </w:numPr>
        <w:spacing w:line="256" w:lineRule="auto"/>
        <w:ind w:left="360"/>
        <w:rPr>
          <w:iCs/>
        </w:rPr>
      </w:pPr>
      <w:r w:rsidRPr="00375211">
        <w:rPr>
          <w:iCs/>
        </w:rPr>
        <w:t>Droits administratifs accordés pour</w:t>
      </w:r>
      <w:r w:rsidR="000D5361" w:rsidRPr="00375211">
        <w:rPr>
          <w:iCs/>
        </w:rPr>
        <w:t> :</w:t>
      </w:r>
    </w:p>
    <w:p w14:paraId="64ABDDF4" w14:textId="0CA87251" w:rsidR="004C735E" w:rsidRPr="00375211" w:rsidRDefault="004C735E" w:rsidP="000D5361">
      <w:pPr>
        <w:pStyle w:val="ListParagraph"/>
        <w:numPr>
          <w:ilvl w:val="1"/>
          <w:numId w:val="25"/>
        </w:numPr>
        <w:spacing w:line="256" w:lineRule="auto"/>
        <w:rPr>
          <w:iCs/>
        </w:rPr>
      </w:pPr>
      <w:r w:rsidRPr="00375211">
        <w:rPr>
          <w:iCs/>
        </w:rPr>
        <w:t xml:space="preserve"> Désactiver ou réinitialiser les mises à jour logicielles.</w:t>
      </w:r>
    </w:p>
    <w:p w14:paraId="1054CD2E" w14:textId="77777777" w:rsidR="000D5361" w:rsidRPr="00375211" w:rsidRDefault="004C735E" w:rsidP="000D5361">
      <w:pPr>
        <w:pStyle w:val="ListParagraph"/>
        <w:numPr>
          <w:ilvl w:val="1"/>
          <w:numId w:val="25"/>
        </w:numPr>
        <w:spacing w:line="256" w:lineRule="auto"/>
        <w:rPr>
          <w:iCs/>
        </w:rPr>
      </w:pPr>
      <w:r w:rsidRPr="00375211">
        <w:rPr>
          <w:iCs/>
        </w:rPr>
        <w:t>Désactiver les anti-maliciels.</w:t>
      </w:r>
    </w:p>
    <w:p w14:paraId="63C8BF56" w14:textId="007B2C08" w:rsidR="00DA0196" w:rsidRPr="00375211" w:rsidRDefault="004C735E" w:rsidP="000D5361">
      <w:pPr>
        <w:pStyle w:val="ListParagraph"/>
        <w:numPr>
          <w:ilvl w:val="1"/>
          <w:numId w:val="25"/>
        </w:numPr>
        <w:spacing w:after="0" w:line="256" w:lineRule="auto"/>
        <w:rPr>
          <w:iCs/>
        </w:rPr>
      </w:pPr>
      <w:r w:rsidRPr="00375211">
        <w:rPr>
          <w:iCs/>
        </w:rPr>
        <w:t>Modifier les paramètres du logiciel.</w:t>
      </w:r>
    </w:p>
    <w:p w14:paraId="3CE3A243" w14:textId="77777777" w:rsidR="000D5361" w:rsidRPr="00375211" w:rsidRDefault="00EB64C7" w:rsidP="000D5361">
      <w:pPr>
        <w:pStyle w:val="ListParagraph"/>
        <w:numPr>
          <w:ilvl w:val="0"/>
          <w:numId w:val="25"/>
        </w:numPr>
        <w:spacing w:after="0" w:line="256" w:lineRule="auto"/>
        <w:ind w:left="360"/>
        <w:rPr>
          <w:iCs/>
        </w:rPr>
      </w:pPr>
      <w:bookmarkStart w:id="8" w:name="_Hlk77760229"/>
      <w:r w:rsidRPr="00375211">
        <w:rPr>
          <w:iCs/>
        </w:rPr>
        <w:t>Les utilisateurs du compte administrateur seront limités au personnel du service des TI.</w:t>
      </w:r>
      <w:bookmarkEnd w:id="8"/>
    </w:p>
    <w:p w14:paraId="561F728C" w14:textId="20501FE0" w:rsidR="004C735E" w:rsidRPr="00375211" w:rsidRDefault="004C735E" w:rsidP="000D5361">
      <w:pPr>
        <w:pStyle w:val="ListParagraph"/>
        <w:numPr>
          <w:ilvl w:val="0"/>
          <w:numId w:val="25"/>
        </w:numPr>
        <w:spacing w:line="256" w:lineRule="auto"/>
        <w:ind w:left="360"/>
        <w:rPr>
          <w:iCs/>
        </w:rPr>
      </w:pPr>
      <w:r w:rsidRPr="00375211">
        <w:rPr>
          <w:iCs/>
        </w:rPr>
        <w:t>Les comptes administrateur sont limités à des activités administratives. Les utilisateurs qui disposent d'un compte administrateur doivent également disposer d'un compte général à des fins professionnelles.</w:t>
      </w:r>
    </w:p>
    <w:p w14:paraId="1560F789" w14:textId="77777777" w:rsidR="000D5361" w:rsidRDefault="00423033" w:rsidP="000D5361">
      <w:pPr>
        <w:pStyle w:val="Heading1"/>
      </w:pPr>
      <w:bookmarkStart w:id="9" w:name="_Toc76980000"/>
      <w:bookmarkStart w:id="10" w:name="_Toc76980126"/>
      <w:r>
        <w:t>Gestion des identités et des accès</w:t>
      </w:r>
      <w:bookmarkEnd w:id="9"/>
      <w:bookmarkEnd w:id="10"/>
    </w:p>
    <w:p w14:paraId="119AB032" w14:textId="02848325" w:rsidR="000D5361" w:rsidRPr="00375211" w:rsidRDefault="00375211" w:rsidP="000D5361">
      <w:pPr>
        <w:rPr>
          <w:rFonts w:ascii="Calibri" w:hAnsi="Calibri"/>
          <w:iCs/>
          <w:color w:val="0000FF"/>
        </w:rPr>
      </w:pPr>
      <w:r w:rsidRPr="00375211">
        <w:rPr>
          <w:b/>
          <w:bCs/>
          <w:iCs/>
          <w:color w:val="0426CE"/>
        </w:rPr>
        <w:t>Instructions </w:t>
      </w:r>
      <w:r w:rsidRPr="00375211">
        <w:rPr>
          <w:iCs/>
          <w:color w:val="0426CE"/>
        </w:rPr>
        <w:t xml:space="preserve">: </w:t>
      </w:r>
      <w:r w:rsidR="00390F23" w:rsidRPr="00375211">
        <w:rPr>
          <w:rFonts w:ascii="Calibri" w:hAnsi="Calibri"/>
          <w:iCs/>
          <w:color w:val="0000FF"/>
        </w:rPr>
        <w:t xml:space="preserve">Les entreprises peuvent utiliser des systèmes de contrôle d'autorisation centralisés pour la gestion de leurs comptes utilisateur. </w:t>
      </w:r>
      <w:bookmarkStart w:id="11" w:name="_Hlk77607556"/>
      <w:r w:rsidR="00390F23" w:rsidRPr="00375211">
        <w:rPr>
          <w:rFonts w:ascii="Calibri" w:hAnsi="Calibri"/>
          <w:iCs/>
          <w:color w:val="0000FF"/>
        </w:rPr>
        <w:t>Si votre entreprise n'utilise pas ce type de système, indiquer que cette section n'est pas applicable.</w:t>
      </w:r>
    </w:p>
    <w:bookmarkEnd w:id="11"/>
    <w:p w14:paraId="4D3C0C23" w14:textId="44051245" w:rsidR="003274BE" w:rsidRPr="00375211" w:rsidRDefault="00947164" w:rsidP="000D5361">
      <w:pPr>
        <w:rPr>
          <w:rFonts w:ascii="Calibri" w:eastAsia="Malgun Gothic" w:hAnsi="Calibri" w:cs="Times New Roman"/>
          <w:iCs/>
          <w:color w:val="0000FF"/>
        </w:rPr>
      </w:pPr>
      <w:r w:rsidRPr="00375211">
        <w:rPr>
          <w:rFonts w:ascii="Calibri" w:hAnsi="Calibri"/>
          <w:iCs/>
          <w:color w:val="0000FF"/>
        </w:rPr>
        <w:t>Insérer vos déclarations de politique relatives à l'identification et à la gestion des accès aux comptes administrateur.</w:t>
      </w:r>
    </w:p>
    <w:p w14:paraId="27FAD1F3" w14:textId="77777777" w:rsidR="000D5361" w:rsidRDefault="002603E6" w:rsidP="000D5361">
      <w:pPr>
        <w:pStyle w:val="Heading1"/>
      </w:pPr>
      <w:r>
        <w:lastRenderedPageBreak/>
        <w:t>Application de la loi</w:t>
      </w:r>
    </w:p>
    <w:p w14:paraId="65CC5F0A" w14:textId="30A7C655" w:rsidR="00BA47E0" w:rsidRPr="00343CD8" w:rsidRDefault="00375211" w:rsidP="000D5361">
      <w:pPr>
        <w:keepNext/>
        <w:rPr>
          <w:i/>
          <w:iCs/>
          <w:color w:val="0000FF"/>
        </w:rPr>
      </w:pPr>
      <w:bookmarkStart w:id="12" w:name="_Toc75784192"/>
      <w:bookmarkStart w:id="13" w:name="_Toc75784444"/>
      <w:bookmarkStart w:id="14" w:name="_Toc76110583"/>
      <w:bookmarkStart w:id="15" w:name="_Toc76549057"/>
      <w:bookmarkStart w:id="16" w:name="_Toc76979971"/>
      <w:bookmarkStart w:id="17" w:name="_Toc76980097"/>
      <w:r>
        <w:rPr>
          <w:b/>
          <w:bCs/>
          <w:iCs/>
          <w:color w:val="0426CE"/>
        </w:rPr>
        <w:t>Instructions </w:t>
      </w:r>
      <w:r w:rsidRPr="00375211">
        <w:rPr>
          <w:iCs/>
          <w:color w:val="0426CE"/>
        </w:rPr>
        <w:t>:</w:t>
      </w:r>
      <w:r>
        <w:rPr>
          <w:i/>
          <w:color w:val="0426CE"/>
        </w:rPr>
        <w:t xml:space="preserve"> </w:t>
      </w:r>
      <w:r w:rsidR="00BA47E0" w:rsidRPr="00375211">
        <w:rPr>
          <w:iCs/>
          <w:color w:val="0000FF"/>
        </w:rPr>
        <w:t>Insérer vos déclarations d’application ci-dessous ou utiliser l’exemple fourni</w:t>
      </w:r>
      <w:r w:rsidR="00970CA5" w:rsidRPr="00375211">
        <w:rPr>
          <w:iCs/>
          <w:color w:val="0000FF"/>
        </w:rPr>
        <w:t>.</w:t>
      </w:r>
    </w:p>
    <w:p w14:paraId="465C0015" w14:textId="349A173F" w:rsidR="003D2AED" w:rsidRPr="00375211" w:rsidRDefault="00390F23" w:rsidP="000D5361">
      <w:pPr>
        <w:jc w:val="both"/>
        <w:rPr>
          <w:iCs/>
        </w:rPr>
      </w:pPr>
      <w:r w:rsidRPr="00375211">
        <w:rPr>
          <w:iCs/>
        </w:rPr>
        <w:t xml:space="preserve">Il incombe au </w:t>
      </w:r>
      <w:r w:rsidRPr="00375211">
        <w:rPr>
          <w:iCs/>
          <w:highlight w:val="yellow"/>
        </w:rPr>
        <w:t>[insérer]</w:t>
      </w:r>
      <w:r w:rsidRPr="00375211">
        <w:rPr>
          <w:iCs/>
        </w:rPr>
        <w:t xml:space="preserve"> d’assurer le respect de cette politique et d'accorder aux utilisateurs les comptes et privilèges d’accès appropriés correspondant à leur rôle et leurs responsabilités. Il incombe aux gestionnaires et chefs d'équipe de vérifier les privilèges d’accès des comptes de leurs employés auprès du </w:t>
      </w:r>
      <w:r w:rsidRPr="00375211">
        <w:rPr>
          <w:iCs/>
          <w:highlight w:val="yellow"/>
        </w:rPr>
        <w:t>[</w:t>
      </w:r>
      <w:r w:rsidR="00375211" w:rsidRPr="00375211">
        <w:rPr>
          <w:iCs/>
          <w:highlight w:val="yellow"/>
        </w:rPr>
        <w:t xml:space="preserve">insérer </w:t>
      </w:r>
      <w:r w:rsidRPr="00375211">
        <w:rPr>
          <w:iCs/>
          <w:highlight w:val="yellow"/>
        </w:rPr>
        <w:t>le titre/nom du responsable d’assurer le respect de cette politique]</w:t>
      </w:r>
      <w:bookmarkEnd w:id="12"/>
      <w:bookmarkEnd w:id="13"/>
      <w:bookmarkEnd w:id="14"/>
      <w:bookmarkEnd w:id="15"/>
      <w:bookmarkEnd w:id="16"/>
      <w:bookmarkEnd w:id="17"/>
      <w:r w:rsidR="00970CA5" w:rsidRPr="00375211">
        <w:rPr>
          <w:iCs/>
        </w:rPr>
        <w:t>.</w:t>
      </w:r>
    </w:p>
    <w:p w14:paraId="01EBC05C" w14:textId="1C0B6CA5" w:rsidR="003D2AED" w:rsidRDefault="003D2AED" w:rsidP="000D5361">
      <w:pPr>
        <w:pStyle w:val="Heading1"/>
      </w:pPr>
      <w:r>
        <w:t>Exigences de certification supplémentaires</w:t>
      </w:r>
    </w:p>
    <w:p w14:paraId="7D53BAA6" w14:textId="3A59FC66" w:rsidR="003D2AED" w:rsidRDefault="003D2AED" w:rsidP="000D5361">
      <w:pPr>
        <w:pStyle w:val="Heading2"/>
      </w:pPr>
      <w:r>
        <w:t>Personnel autre que des TI disposant de droits d'administrateur</w:t>
      </w:r>
    </w:p>
    <w:tbl>
      <w:tblPr>
        <w:tblStyle w:val="TableGrid"/>
        <w:tblW w:w="0" w:type="auto"/>
        <w:tblLook w:val="04A0" w:firstRow="1" w:lastRow="0" w:firstColumn="1" w:lastColumn="0" w:noHBand="0" w:noVBand="1"/>
      </w:tblPr>
      <w:tblGrid>
        <w:gridCol w:w="9465"/>
      </w:tblGrid>
      <w:tr w:rsidR="003D2AED" w14:paraId="4098B262" w14:textId="77777777" w:rsidTr="003D2AED">
        <w:tc>
          <w:tcPr>
            <w:tcW w:w="9465" w:type="dxa"/>
          </w:tcPr>
          <w:p w14:paraId="5A18CE44" w14:textId="2F7084F2" w:rsidR="003D2AED" w:rsidRPr="00375211" w:rsidRDefault="00375211" w:rsidP="000D5361">
            <w:pPr>
              <w:rPr>
                <w:iCs/>
                <w:color w:val="0000FF"/>
              </w:rPr>
            </w:pPr>
            <w:r w:rsidRPr="00375211">
              <w:rPr>
                <w:b/>
                <w:bCs/>
                <w:iCs/>
                <w:color w:val="0426CE"/>
              </w:rPr>
              <w:t>Instructions </w:t>
            </w:r>
            <w:r w:rsidRPr="00375211">
              <w:rPr>
                <w:iCs/>
                <w:color w:val="0426CE"/>
              </w:rPr>
              <w:t xml:space="preserve">: </w:t>
            </w:r>
            <w:r w:rsidR="003D2AED" w:rsidRPr="00375211">
              <w:rPr>
                <w:iCs/>
                <w:color w:val="0000FF"/>
              </w:rPr>
              <w:t>Décrire les situations pour lesquelles des personnes qui ne sont pas associées aux TI disposent de droits d'administrateur et expliquer pourquoi elles doivent posséder ce niveau d’autorité.</w:t>
            </w:r>
          </w:p>
          <w:p w14:paraId="1DA30523" w14:textId="77777777" w:rsidR="003D2AED" w:rsidRDefault="003D2AED" w:rsidP="000D5361">
            <w:pPr>
              <w:rPr>
                <w:color w:val="0000FF"/>
              </w:rPr>
            </w:pPr>
          </w:p>
          <w:p w14:paraId="75F2B7EF" w14:textId="77777777" w:rsidR="003D2AED" w:rsidRPr="005A175E" w:rsidRDefault="003D2AED" w:rsidP="000D5361"/>
          <w:p w14:paraId="0FE70105" w14:textId="77777777" w:rsidR="003D2AED" w:rsidRDefault="003D2AED" w:rsidP="000D5361">
            <w:pPr>
              <w:rPr>
                <w:color w:val="0000FF"/>
              </w:rPr>
            </w:pPr>
          </w:p>
          <w:p w14:paraId="33C52EF5" w14:textId="77777777" w:rsidR="003D2AED" w:rsidRDefault="003D2AED" w:rsidP="000D5361">
            <w:pPr>
              <w:rPr>
                <w:color w:val="0000FF"/>
              </w:rPr>
            </w:pPr>
          </w:p>
          <w:p w14:paraId="5E5C0BEC" w14:textId="77777777" w:rsidR="003D2AED" w:rsidRDefault="003D2AED" w:rsidP="000D5361">
            <w:pPr>
              <w:rPr>
                <w:color w:val="0000FF"/>
              </w:rPr>
            </w:pPr>
          </w:p>
          <w:p w14:paraId="634B760A" w14:textId="77777777" w:rsidR="003D2AED" w:rsidRDefault="003D2AED" w:rsidP="000D5361">
            <w:pPr>
              <w:rPr>
                <w:color w:val="0000FF"/>
              </w:rPr>
            </w:pPr>
          </w:p>
          <w:p w14:paraId="47A6A618" w14:textId="77777777" w:rsidR="003D2AED" w:rsidRDefault="003D2AED" w:rsidP="000D5361">
            <w:pPr>
              <w:rPr>
                <w:color w:val="0000FF"/>
              </w:rPr>
            </w:pPr>
          </w:p>
          <w:p w14:paraId="04D8865A" w14:textId="77777777" w:rsidR="003D2AED" w:rsidRDefault="003D2AED" w:rsidP="000D5361">
            <w:pPr>
              <w:rPr>
                <w:color w:val="0000FF"/>
              </w:rPr>
            </w:pPr>
          </w:p>
          <w:p w14:paraId="77336BD9" w14:textId="77777777" w:rsidR="003D2AED" w:rsidRDefault="003D2AED" w:rsidP="000D5361">
            <w:pPr>
              <w:rPr>
                <w:color w:val="0000FF"/>
              </w:rPr>
            </w:pPr>
          </w:p>
          <w:p w14:paraId="1B49B1DF" w14:textId="77777777" w:rsidR="003D2AED" w:rsidRDefault="003D2AED" w:rsidP="000D5361">
            <w:pPr>
              <w:rPr>
                <w:color w:val="0000FF"/>
              </w:rPr>
            </w:pPr>
          </w:p>
          <w:p w14:paraId="0BAB2AE1" w14:textId="0ABD4D43" w:rsidR="003D2AED" w:rsidRPr="007B1135" w:rsidRDefault="003D2AED" w:rsidP="000D5361">
            <w:pPr>
              <w:rPr>
                <w:color w:val="0000FF"/>
              </w:rPr>
            </w:pPr>
          </w:p>
        </w:tc>
      </w:tr>
    </w:tbl>
    <w:p w14:paraId="7E5D252C" w14:textId="75398A21" w:rsidR="003D2AED" w:rsidRDefault="003D2AED" w:rsidP="000D5361"/>
    <w:p w14:paraId="3B751730" w14:textId="47DAE104" w:rsidR="003D2AED" w:rsidRDefault="003D2AED" w:rsidP="000D5361">
      <w:pPr>
        <w:pStyle w:val="Heading2"/>
      </w:pPr>
      <w:r>
        <w:t>Gestion des comptes</w:t>
      </w:r>
    </w:p>
    <w:tbl>
      <w:tblPr>
        <w:tblStyle w:val="TableGrid"/>
        <w:tblW w:w="0" w:type="auto"/>
        <w:tblLook w:val="04A0" w:firstRow="1" w:lastRow="0" w:firstColumn="1" w:lastColumn="0" w:noHBand="0" w:noVBand="1"/>
      </w:tblPr>
      <w:tblGrid>
        <w:gridCol w:w="9465"/>
      </w:tblGrid>
      <w:tr w:rsidR="003D2AED" w14:paraId="44F6E523" w14:textId="77777777" w:rsidTr="003D2AED">
        <w:tc>
          <w:tcPr>
            <w:tcW w:w="9465" w:type="dxa"/>
          </w:tcPr>
          <w:p w14:paraId="282F1A14" w14:textId="0AA90F22" w:rsidR="003D2AED" w:rsidRPr="00375211" w:rsidRDefault="00375211" w:rsidP="000D5361">
            <w:pPr>
              <w:rPr>
                <w:iCs/>
                <w:color w:val="0000FF"/>
              </w:rPr>
            </w:pPr>
            <w:r w:rsidRPr="00375211">
              <w:rPr>
                <w:b/>
                <w:bCs/>
                <w:iCs/>
                <w:color w:val="0426CE"/>
              </w:rPr>
              <w:t>Instructions </w:t>
            </w:r>
            <w:r w:rsidRPr="00375211">
              <w:rPr>
                <w:iCs/>
                <w:color w:val="0426CE"/>
              </w:rPr>
              <w:t xml:space="preserve">: </w:t>
            </w:r>
            <w:r w:rsidR="003D2AED" w:rsidRPr="00375211">
              <w:rPr>
                <w:iCs/>
                <w:color w:val="0000FF"/>
              </w:rPr>
              <w:t>Décrire comment votre entreprise entend examiner les comptes pour s'assurer que ceux des employés qui ont quitté l’entreprise sont suspendus ou supprimés. De plus, donner un aperçu de la façon dont les comptes sont régulièrement examinés pour s'assurer que chaque personne dispose des privilèges et des fonctionnalités appropriés au poste qu’elle occupe.</w:t>
            </w:r>
          </w:p>
          <w:p w14:paraId="7F67A851" w14:textId="77777777" w:rsidR="003D2AED" w:rsidRDefault="003D2AED" w:rsidP="000D5361"/>
          <w:p w14:paraId="1836968B" w14:textId="77777777" w:rsidR="003D2AED" w:rsidRDefault="003D2AED" w:rsidP="000D5361"/>
          <w:p w14:paraId="2AAD8B80" w14:textId="77777777" w:rsidR="003D2AED" w:rsidRDefault="003D2AED" w:rsidP="000D5361"/>
          <w:p w14:paraId="0BCB68EF" w14:textId="77777777" w:rsidR="003D2AED" w:rsidRDefault="003D2AED" w:rsidP="000D5361"/>
          <w:p w14:paraId="337FB228" w14:textId="77777777" w:rsidR="003D2AED" w:rsidRDefault="003D2AED" w:rsidP="000D5361"/>
          <w:p w14:paraId="40BEA78A" w14:textId="77777777" w:rsidR="003D2AED" w:rsidRDefault="003D2AED" w:rsidP="000D5361"/>
          <w:p w14:paraId="1D3E9079" w14:textId="77777777" w:rsidR="003D2AED" w:rsidRDefault="003D2AED" w:rsidP="000D5361"/>
          <w:p w14:paraId="2060995C" w14:textId="77777777" w:rsidR="003D2AED" w:rsidRDefault="003D2AED" w:rsidP="000D5361"/>
          <w:p w14:paraId="6195A564" w14:textId="04392C2E" w:rsidR="003D2AED" w:rsidRDefault="003D2AED" w:rsidP="000D5361"/>
        </w:tc>
      </w:tr>
    </w:tbl>
    <w:p w14:paraId="39475335" w14:textId="77777777" w:rsidR="003D2AED" w:rsidRPr="003D2AED" w:rsidRDefault="003D2AED" w:rsidP="000D5361"/>
    <w:p w14:paraId="6E241D42" w14:textId="77777777" w:rsidR="003D2AED" w:rsidRPr="003D2AED" w:rsidRDefault="003D2AED" w:rsidP="000D5361"/>
    <w:p w14:paraId="0600B7F1" w14:textId="77777777" w:rsidR="003D2AED" w:rsidRPr="003D2AED" w:rsidRDefault="003D2AED" w:rsidP="000D5361"/>
    <w:sectPr w:rsidR="003D2AED" w:rsidRPr="003D2AED" w:rsidSect="00570D21">
      <w:headerReference w:type="even" r:id="rId8"/>
      <w:headerReference w:type="default" r:id="rId9"/>
      <w:footerReference w:type="even" r:id="rId10"/>
      <w:footerReference w:type="default" r:id="rId11"/>
      <w:headerReference w:type="first" r:id="rId12"/>
      <w:footerReference w:type="first" r:id="rId13"/>
      <w:pgSz w:w="12240" w:h="15840"/>
      <w:pgMar w:top="1440" w:right="1325"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1BB1B" w14:textId="77777777" w:rsidR="002A7393" w:rsidRDefault="002A7393" w:rsidP="00EB64C7">
      <w:pPr>
        <w:spacing w:after="0" w:line="240" w:lineRule="auto"/>
      </w:pPr>
      <w:r>
        <w:separator/>
      </w:r>
    </w:p>
  </w:endnote>
  <w:endnote w:type="continuationSeparator" w:id="0">
    <w:p w14:paraId="70DD4603" w14:textId="77777777" w:rsidR="002A7393" w:rsidRDefault="002A7393" w:rsidP="00EB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74132" w14:textId="77777777" w:rsidR="00711204" w:rsidRDefault="00711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6EE21" w14:textId="41D0B2B2" w:rsidR="00F0696B" w:rsidRPr="00375211" w:rsidRDefault="009D6FDF" w:rsidP="00570D21">
    <w:pPr>
      <w:pStyle w:val="Footer"/>
      <w:tabs>
        <w:tab w:val="clear" w:pos="9360"/>
        <w:tab w:val="left" w:pos="9214"/>
        <w:tab w:val="right" w:pos="9356"/>
      </w:tabs>
      <w:ind w:right="-731"/>
      <w:jc w:val="right"/>
      <w:rPr>
        <w:iCs/>
      </w:rPr>
    </w:pPr>
    <w:r>
      <w:rPr>
        <w:noProof/>
      </w:rPr>
      <w:drawing>
        <wp:anchor distT="0" distB="0" distL="114300" distR="114300" simplePos="0" relativeHeight="251671552" behindDoc="0" locked="0" layoutInCell="1" allowOverlap="1" wp14:anchorId="7E642B41" wp14:editId="59D8607B">
          <wp:simplePos x="0" y="0"/>
          <wp:positionH relativeFrom="column">
            <wp:posOffset>-805218</wp:posOffset>
          </wp:positionH>
          <wp:positionV relativeFrom="paragraph">
            <wp:posOffset>0</wp:posOffset>
          </wp:positionV>
          <wp:extent cx="1603375" cy="645795"/>
          <wp:effectExtent l="0" t="0" r="0" b="190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645795"/>
                  </a:xfrm>
                  <a:prstGeom prst="rect">
                    <a:avLst/>
                  </a:prstGeom>
                  <a:noFill/>
                </pic:spPr>
              </pic:pic>
            </a:graphicData>
          </a:graphic>
        </wp:anchor>
      </w:drawing>
    </w:r>
    <w:r w:rsidR="00F0696B" w:rsidRPr="00375211">
      <w:rPr>
        <w:iCs/>
      </w:rPr>
      <w:t>Politique de mise en œuvre des contrôles d’accès et des autorisations</w:t>
    </w:r>
  </w:p>
  <w:p w14:paraId="3E05F366" w14:textId="77777777" w:rsidR="00F0696B" w:rsidRPr="00375211" w:rsidRDefault="00F0696B">
    <w:pPr>
      <w:pStyle w:val="Footer"/>
      <w:rPr>
        <w:b/>
        <w:bCs/>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6104" w14:textId="3B155FB1" w:rsidR="00570D21" w:rsidRPr="00375211" w:rsidRDefault="00711204" w:rsidP="00570D21">
    <w:pPr>
      <w:pStyle w:val="Footer"/>
      <w:tabs>
        <w:tab w:val="clear" w:pos="9360"/>
        <w:tab w:val="left" w:pos="9214"/>
        <w:tab w:val="right" w:pos="9356"/>
      </w:tabs>
      <w:ind w:right="-731"/>
      <w:jc w:val="right"/>
      <w:rPr>
        <w:iCs/>
      </w:rPr>
    </w:pPr>
    <w:r>
      <w:rPr>
        <w:noProof/>
      </w:rPr>
      <w:drawing>
        <wp:anchor distT="0" distB="0" distL="114300" distR="114300" simplePos="0" relativeHeight="251669504" behindDoc="0" locked="0" layoutInCell="1" allowOverlap="1" wp14:anchorId="1DDF78F9" wp14:editId="7FDF2747">
          <wp:simplePos x="0" y="0"/>
          <wp:positionH relativeFrom="column">
            <wp:posOffset>-668655</wp:posOffset>
          </wp:positionH>
          <wp:positionV relativeFrom="paragraph">
            <wp:posOffset>-56875</wp:posOffset>
          </wp:positionV>
          <wp:extent cx="1603375" cy="645795"/>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3375" cy="645795"/>
                  </a:xfrm>
                  <a:prstGeom prst="rect">
                    <a:avLst/>
                  </a:prstGeom>
                  <a:noFill/>
                </pic:spPr>
              </pic:pic>
            </a:graphicData>
          </a:graphic>
        </wp:anchor>
      </w:drawing>
    </w:r>
    <w:r w:rsidR="00570D21" w:rsidRPr="00375211">
      <w:rPr>
        <w:iCs/>
      </w:rPr>
      <w:t>Politique de mise en œuvre des contrôles d’accès et des autorisations</w:t>
    </w:r>
  </w:p>
  <w:p w14:paraId="7D6734C5" w14:textId="77777777" w:rsidR="00570D21" w:rsidRPr="00570D21" w:rsidRDefault="00570D21" w:rsidP="00570D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58D15" w14:textId="77777777" w:rsidR="002A7393" w:rsidRDefault="002A7393" w:rsidP="00EB64C7">
      <w:pPr>
        <w:spacing w:after="0" w:line="240" w:lineRule="auto"/>
      </w:pPr>
      <w:r>
        <w:separator/>
      </w:r>
    </w:p>
  </w:footnote>
  <w:footnote w:type="continuationSeparator" w:id="0">
    <w:p w14:paraId="56955F34" w14:textId="77777777" w:rsidR="002A7393" w:rsidRDefault="002A7393" w:rsidP="00EB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26431" w14:textId="688CCF31" w:rsidR="00AE7BCF" w:rsidRDefault="002A7393">
    <w:pPr>
      <w:pStyle w:val="Header"/>
    </w:pPr>
    <w:r>
      <w:pict w14:anchorId="4DDB13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6782" o:spid="_x0000_s2050" type="#_x0000_t136" style="position:absolute;margin-left:0;margin-top:0;width:500.95pt;height:166.95pt;rotation:315;z-index:-251651072;mso-position-horizontal:center;mso-position-horizontal-relative:margin;mso-position-vertical:center;mso-position-vertical-relative:margin" o:allowincell="f" fillcolor="silver" stroked="f">
          <v:fill opacity=".5"/>
          <v:textpath style="font-family:&quot;Calibri&quot;;font-size:1pt" string="MODÈ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0395C" w14:textId="3172AF30" w:rsidR="00570D21" w:rsidRDefault="002A7393">
    <w:pPr>
      <w:pStyle w:val="Header"/>
    </w:pPr>
    <w:r>
      <w:pict w14:anchorId="0869AF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6783" o:spid="_x0000_s2051" type="#_x0000_t136" style="position:absolute;margin-left:0;margin-top:0;width:500.95pt;height:166.95pt;rotation:315;z-index:-251649024;mso-position-horizontal:center;mso-position-horizontal-relative:margin;mso-position-vertical:center;mso-position-vertical-relative:margin" o:allowincell="f" fillcolor="silver" stroked="f">
          <v:fill opacity=".5"/>
          <v:textpath style="font-family:&quot;Calibri&quot;;font-size:1pt" string="MODÈLE"/>
          <w10:wrap anchorx="margin" anchory="margin"/>
        </v:shape>
      </w:pict>
    </w:r>
    <w:r w:rsidR="008C0B19">
      <w:rPr>
        <w:highlight w:val="yellow"/>
      </w:rPr>
      <w:t>[</w:t>
    </w:r>
    <w:r w:rsidR="00711204" w:rsidRPr="00375211">
      <w:rPr>
        <w:iCs/>
        <w:highlight w:val="yellow"/>
      </w:rPr>
      <w:t>insérer l’en-tête</w:t>
    </w:r>
    <w:r w:rsidR="00711204">
      <w:rPr>
        <w:iCs/>
        <w:highlight w:val="yellow"/>
      </w:rPr>
      <w:t xml:space="preserve"> </w:t>
    </w:r>
    <w:r w:rsidR="00711204" w:rsidRPr="00375211">
      <w:rPr>
        <w:highlight w:val="yellow"/>
      </w:rPr>
      <w:t>de l’entreprise</w:t>
    </w:r>
    <w:r w:rsidR="00711204">
      <w:rPr>
        <w:highlight w:val="yellow"/>
      </w:rPr>
      <w:t>]</w:t>
    </w:r>
    <w:r w:rsidR="008C0B19">
      <w:tab/>
    </w:r>
    <w:r w:rsidR="008C0B19">
      <w:tab/>
      <w:t>Dernière version</w:t>
    </w:r>
    <w:r w:rsidR="000D5361">
      <w:t> :</w:t>
    </w:r>
    <w:r w:rsidR="008C0B19">
      <w:t xml:space="preserve"> </w:t>
    </w:r>
    <w:r w:rsidR="008C0B19">
      <w:rPr>
        <w:highlight w:val="yellow"/>
      </w:rPr>
      <w:t>[</w:t>
    </w:r>
    <w:r w:rsidR="00375211" w:rsidRPr="00375211">
      <w:rPr>
        <w:iCs/>
        <w:highlight w:val="yellow"/>
      </w:rPr>
      <w:t>Insérer la date</w:t>
    </w:r>
    <w:r w:rsidR="008C0B19">
      <w:rPr>
        <w:highlight w:val="yellow"/>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0549A" w14:textId="05E5A317" w:rsidR="00AE7BCF" w:rsidRDefault="002A7393">
    <w:pPr>
      <w:pStyle w:val="Header"/>
    </w:pPr>
    <w:r>
      <w:pict w14:anchorId="5BFCA2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56781" o:spid="_x0000_s2049" type="#_x0000_t136" style="position:absolute;margin-left:0;margin-top:0;width:500.95pt;height:166.95pt;rotation:315;z-index:-251653120;mso-position-horizontal:center;mso-position-horizontal-relative:margin;mso-position-vertical:center;mso-position-vertical-relative:margin" o:allowincell="f" fillcolor="silver" stroked="f">
          <v:fill opacity=".5"/>
          <v:textpath style="font-family:&quot;Calibri&quot;;font-size:1pt" string="MODÈ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0201"/>
    <w:multiLevelType w:val="hybridMultilevel"/>
    <w:tmpl w:val="0FC6645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146AAD"/>
    <w:multiLevelType w:val="hybridMultilevel"/>
    <w:tmpl w:val="983E2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823C51"/>
    <w:multiLevelType w:val="hybridMultilevel"/>
    <w:tmpl w:val="60340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791F20"/>
    <w:multiLevelType w:val="hybridMultilevel"/>
    <w:tmpl w:val="976C7A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E2F4C9B"/>
    <w:multiLevelType w:val="hybridMultilevel"/>
    <w:tmpl w:val="194E11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E8C5155"/>
    <w:multiLevelType w:val="hybridMultilevel"/>
    <w:tmpl w:val="FEA805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8E37CA7"/>
    <w:multiLevelType w:val="hybridMultilevel"/>
    <w:tmpl w:val="194E11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6C36DD"/>
    <w:multiLevelType w:val="hybridMultilevel"/>
    <w:tmpl w:val="7158BE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8B190D"/>
    <w:multiLevelType w:val="hybridMultilevel"/>
    <w:tmpl w:val="9C96AB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2A76DEC"/>
    <w:multiLevelType w:val="hybridMultilevel"/>
    <w:tmpl w:val="D6C29292"/>
    <w:lvl w:ilvl="0" w:tplc="7B40ED94">
      <w:start w:val="1"/>
      <w:numFmt w:val="decimal"/>
      <w:lvlText w:val="%1."/>
      <w:lvlJc w:val="left"/>
      <w:pPr>
        <w:ind w:left="720" w:hanging="360"/>
      </w:pPr>
      <w:rPr>
        <w:rFonts w:hint="default"/>
        <w:color w:val="0000FF"/>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2A86900"/>
    <w:multiLevelType w:val="hybridMultilevel"/>
    <w:tmpl w:val="E0B05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8BF7E58"/>
    <w:multiLevelType w:val="hybridMultilevel"/>
    <w:tmpl w:val="86584FAE"/>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C0C1AE2"/>
    <w:multiLevelType w:val="hybridMultilevel"/>
    <w:tmpl w:val="12CEBB64"/>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3" w15:restartNumberingAfterBreak="0">
    <w:nsid w:val="56BE02B0"/>
    <w:multiLevelType w:val="hybridMultilevel"/>
    <w:tmpl w:val="8ABE13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83B2456"/>
    <w:multiLevelType w:val="hybridMultilevel"/>
    <w:tmpl w:val="38B0075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51157B"/>
    <w:multiLevelType w:val="hybridMultilevel"/>
    <w:tmpl w:val="919CB9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AE553DE"/>
    <w:multiLevelType w:val="hybridMultilevel"/>
    <w:tmpl w:val="88C68378"/>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5AE67E0E"/>
    <w:multiLevelType w:val="hybridMultilevel"/>
    <w:tmpl w:val="8C168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DC50EE5"/>
    <w:multiLevelType w:val="hybridMultilevel"/>
    <w:tmpl w:val="13F271A4"/>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9432F9"/>
    <w:multiLevelType w:val="hybridMultilevel"/>
    <w:tmpl w:val="70CCB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C455E65"/>
    <w:multiLevelType w:val="hybridMultilevel"/>
    <w:tmpl w:val="1032ACAA"/>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907C7C"/>
    <w:multiLevelType w:val="hybridMultilevel"/>
    <w:tmpl w:val="FE64F62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FE610C9"/>
    <w:multiLevelType w:val="hybridMultilevel"/>
    <w:tmpl w:val="268E9394"/>
    <w:lvl w:ilvl="0" w:tplc="10090001">
      <w:start w:val="1"/>
      <w:numFmt w:val="bullet"/>
      <w:lvlText w:val=""/>
      <w:lvlJc w:val="left"/>
      <w:pPr>
        <w:ind w:left="720" w:hanging="360"/>
      </w:pPr>
      <w:rPr>
        <w:rFonts w:ascii="Symbol" w:hAnsi="Symbol" w:hint="default"/>
        <w:color w:val="0000FF"/>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1D42273"/>
    <w:multiLevelType w:val="hybridMultilevel"/>
    <w:tmpl w:val="B76A0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7E43BDC"/>
    <w:multiLevelType w:val="hybridMultilevel"/>
    <w:tmpl w:val="17B600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D3D5633"/>
    <w:multiLevelType w:val="hybridMultilevel"/>
    <w:tmpl w:val="394CA0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3"/>
  </w:num>
  <w:num w:numId="3">
    <w:abstractNumId w:val="17"/>
  </w:num>
  <w:num w:numId="4">
    <w:abstractNumId w:val="21"/>
  </w:num>
  <w:num w:numId="5">
    <w:abstractNumId w:val="5"/>
  </w:num>
  <w:num w:numId="6">
    <w:abstractNumId w:val="20"/>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4"/>
  </w:num>
  <w:num w:numId="11">
    <w:abstractNumId w:val="16"/>
  </w:num>
  <w:num w:numId="12">
    <w:abstractNumId w:val="1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4"/>
  </w:num>
  <w:num w:numId="20">
    <w:abstractNumId w:val="6"/>
  </w:num>
  <w:num w:numId="21">
    <w:abstractNumId w:val="7"/>
  </w:num>
  <w:num w:numId="22">
    <w:abstractNumId w:val="18"/>
  </w:num>
  <w:num w:numId="23">
    <w:abstractNumId w:val="1"/>
  </w:num>
  <w:num w:numId="24">
    <w:abstractNumId w:val="2"/>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A3"/>
    <w:rsid w:val="000451AC"/>
    <w:rsid w:val="000921B3"/>
    <w:rsid w:val="000A14DA"/>
    <w:rsid w:val="000B4303"/>
    <w:rsid w:val="000B69DC"/>
    <w:rsid w:val="000D5361"/>
    <w:rsid w:val="000E303C"/>
    <w:rsid w:val="000F7FE2"/>
    <w:rsid w:val="001004CE"/>
    <w:rsid w:val="001465EA"/>
    <w:rsid w:val="00166A1C"/>
    <w:rsid w:val="0017674C"/>
    <w:rsid w:val="00184DC5"/>
    <w:rsid w:val="001C0E45"/>
    <w:rsid w:val="001E769F"/>
    <w:rsid w:val="00216D1A"/>
    <w:rsid w:val="0021784C"/>
    <w:rsid w:val="00244EBD"/>
    <w:rsid w:val="00256837"/>
    <w:rsid w:val="002603E6"/>
    <w:rsid w:val="00261E83"/>
    <w:rsid w:val="00267847"/>
    <w:rsid w:val="0029256B"/>
    <w:rsid w:val="002A7393"/>
    <w:rsid w:val="002E1435"/>
    <w:rsid w:val="002F33AA"/>
    <w:rsid w:val="00306DA5"/>
    <w:rsid w:val="003274BE"/>
    <w:rsid w:val="0033010A"/>
    <w:rsid w:val="003361BF"/>
    <w:rsid w:val="00340E64"/>
    <w:rsid w:val="00360EDF"/>
    <w:rsid w:val="00373E43"/>
    <w:rsid w:val="00375211"/>
    <w:rsid w:val="00390F23"/>
    <w:rsid w:val="003C66D1"/>
    <w:rsid w:val="003D2AED"/>
    <w:rsid w:val="00423033"/>
    <w:rsid w:val="00447D85"/>
    <w:rsid w:val="00454299"/>
    <w:rsid w:val="00462C89"/>
    <w:rsid w:val="00463D28"/>
    <w:rsid w:val="00480E29"/>
    <w:rsid w:val="00492F4A"/>
    <w:rsid w:val="004A2648"/>
    <w:rsid w:val="004B23FB"/>
    <w:rsid w:val="004B629A"/>
    <w:rsid w:val="004C735E"/>
    <w:rsid w:val="00550D82"/>
    <w:rsid w:val="00570C0C"/>
    <w:rsid w:val="00570D21"/>
    <w:rsid w:val="005972C4"/>
    <w:rsid w:val="005A175E"/>
    <w:rsid w:val="005B33E3"/>
    <w:rsid w:val="005B6CE7"/>
    <w:rsid w:val="005C65F4"/>
    <w:rsid w:val="005D29BE"/>
    <w:rsid w:val="005D75EC"/>
    <w:rsid w:val="00603D0F"/>
    <w:rsid w:val="00647F0B"/>
    <w:rsid w:val="006527BD"/>
    <w:rsid w:val="006727F2"/>
    <w:rsid w:val="00672E38"/>
    <w:rsid w:val="00676C65"/>
    <w:rsid w:val="006B658E"/>
    <w:rsid w:val="006E04F7"/>
    <w:rsid w:val="006F2B47"/>
    <w:rsid w:val="006F7D54"/>
    <w:rsid w:val="00711204"/>
    <w:rsid w:val="00713669"/>
    <w:rsid w:val="007627D6"/>
    <w:rsid w:val="007A323C"/>
    <w:rsid w:val="007B1135"/>
    <w:rsid w:val="007C23A6"/>
    <w:rsid w:val="007D63E3"/>
    <w:rsid w:val="007E563D"/>
    <w:rsid w:val="007F63E2"/>
    <w:rsid w:val="008260A3"/>
    <w:rsid w:val="00846B35"/>
    <w:rsid w:val="00862D8A"/>
    <w:rsid w:val="00886027"/>
    <w:rsid w:val="008B4DFB"/>
    <w:rsid w:val="008C0B19"/>
    <w:rsid w:val="008C0CA5"/>
    <w:rsid w:val="00934DB9"/>
    <w:rsid w:val="00947164"/>
    <w:rsid w:val="00970CA5"/>
    <w:rsid w:val="009B2081"/>
    <w:rsid w:val="009D6FDF"/>
    <w:rsid w:val="009D7F5A"/>
    <w:rsid w:val="00A4005D"/>
    <w:rsid w:val="00A405D2"/>
    <w:rsid w:val="00AC5AF0"/>
    <w:rsid w:val="00AD2F1C"/>
    <w:rsid w:val="00AE63B2"/>
    <w:rsid w:val="00AE7BCF"/>
    <w:rsid w:val="00B13774"/>
    <w:rsid w:val="00B309AD"/>
    <w:rsid w:val="00B50DF9"/>
    <w:rsid w:val="00B813B8"/>
    <w:rsid w:val="00B82BBF"/>
    <w:rsid w:val="00B97966"/>
    <w:rsid w:val="00BA2376"/>
    <w:rsid w:val="00BA3499"/>
    <w:rsid w:val="00BA47E0"/>
    <w:rsid w:val="00BB71CE"/>
    <w:rsid w:val="00BE7ED5"/>
    <w:rsid w:val="00C00A02"/>
    <w:rsid w:val="00C3140F"/>
    <w:rsid w:val="00C6432F"/>
    <w:rsid w:val="00C66658"/>
    <w:rsid w:val="00CA3CE1"/>
    <w:rsid w:val="00CA54E1"/>
    <w:rsid w:val="00CE0E5E"/>
    <w:rsid w:val="00D15AA6"/>
    <w:rsid w:val="00D4166A"/>
    <w:rsid w:val="00D70AED"/>
    <w:rsid w:val="00D70D70"/>
    <w:rsid w:val="00DA0196"/>
    <w:rsid w:val="00DC4362"/>
    <w:rsid w:val="00DE7F4B"/>
    <w:rsid w:val="00E300A5"/>
    <w:rsid w:val="00E35458"/>
    <w:rsid w:val="00E367CC"/>
    <w:rsid w:val="00E600E3"/>
    <w:rsid w:val="00E873B3"/>
    <w:rsid w:val="00EA249D"/>
    <w:rsid w:val="00EB1F65"/>
    <w:rsid w:val="00EB3B5B"/>
    <w:rsid w:val="00EB64C7"/>
    <w:rsid w:val="00F0696B"/>
    <w:rsid w:val="00F16739"/>
    <w:rsid w:val="00F2254F"/>
    <w:rsid w:val="00F8192C"/>
    <w:rsid w:val="00F85F6B"/>
    <w:rsid w:val="00F94989"/>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C95C9D2"/>
  <w15:chartTrackingRefBased/>
  <w15:docId w15:val="{B4545089-84AC-49C5-9C56-1EB47F15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fr-CA" w:eastAsia="ko-KR"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135"/>
  </w:style>
  <w:style w:type="paragraph" w:styleId="Heading1">
    <w:name w:val="heading 1"/>
    <w:basedOn w:val="Normal"/>
    <w:next w:val="Normal"/>
    <w:link w:val="Heading1Char"/>
    <w:uiPriority w:val="9"/>
    <w:qFormat/>
    <w:rsid w:val="00570D21"/>
    <w:pPr>
      <w:keepNext/>
      <w:keepLines/>
      <w:pBdr>
        <w:bottom w:val="single" w:sz="4" w:space="2" w:color="707070"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570D21"/>
    <w:pPr>
      <w:keepNext/>
      <w:keepLines/>
      <w:spacing w:before="120" w:after="0" w:line="240" w:lineRule="auto"/>
      <w:outlineLvl w:val="1"/>
    </w:pPr>
    <w:rPr>
      <w:rFonts w:asciiTheme="majorHAnsi" w:eastAsiaTheme="majorEastAsia" w:hAnsiTheme="majorHAnsi" w:cstheme="majorBidi"/>
      <w:color w:val="707070" w:themeColor="accent2"/>
      <w:sz w:val="36"/>
      <w:szCs w:val="36"/>
    </w:rPr>
  </w:style>
  <w:style w:type="paragraph" w:styleId="Heading3">
    <w:name w:val="heading 3"/>
    <w:basedOn w:val="Normal"/>
    <w:next w:val="Normal"/>
    <w:link w:val="Heading3Char"/>
    <w:uiPriority w:val="9"/>
    <w:semiHidden/>
    <w:unhideWhenUsed/>
    <w:qFormat/>
    <w:rsid w:val="00570D21"/>
    <w:pPr>
      <w:keepNext/>
      <w:keepLines/>
      <w:spacing w:before="80" w:after="0" w:line="240" w:lineRule="auto"/>
      <w:outlineLvl w:val="2"/>
    </w:pPr>
    <w:rPr>
      <w:rFonts w:asciiTheme="majorHAnsi" w:eastAsiaTheme="majorEastAsia" w:hAnsiTheme="majorHAnsi" w:cstheme="majorBidi"/>
      <w:color w:val="535353" w:themeColor="accent2" w:themeShade="BF"/>
      <w:sz w:val="32"/>
      <w:szCs w:val="32"/>
    </w:rPr>
  </w:style>
  <w:style w:type="paragraph" w:styleId="Heading4">
    <w:name w:val="heading 4"/>
    <w:basedOn w:val="Normal"/>
    <w:next w:val="Normal"/>
    <w:link w:val="Heading4Char"/>
    <w:uiPriority w:val="9"/>
    <w:semiHidden/>
    <w:unhideWhenUsed/>
    <w:qFormat/>
    <w:rsid w:val="00570D21"/>
    <w:pPr>
      <w:keepNext/>
      <w:keepLines/>
      <w:spacing w:before="80" w:after="0" w:line="240" w:lineRule="auto"/>
      <w:outlineLvl w:val="3"/>
    </w:pPr>
    <w:rPr>
      <w:rFonts w:asciiTheme="majorHAnsi" w:eastAsiaTheme="majorEastAsia" w:hAnsiTheme="majorHAnsi" w:cstheme="majorBidi"/>
      <w:i/>
      <w:iCs/>
      <w:color w:val="383838" w:themeColor="accent2" w:themeShade="80"/>
      <w:sz w:val="28"/>
      <w:szCs w:val="28"/>
    </w:rPr>
  </w:style>
  <w:style w:type="paragraph" w:styleId="Heading5">
    <w:name w:val="heading 5"/>
    <w:basedOn w:val="Normal"/>
    <w:next w:val="Normal"/>
    <w:link w:val="Heading5Char"/>
    <w:uiPriority w:val="9"/>
    <w:semiHidden/>
    <w:unhideWhenUsed/>
    <w:qFormat/>
    <w:rsid w:val="00570D21"/>
    <w:pPr>
      <w:keepNext/>
      <w:keepLines/>
      <w:spacing w:before="80" w:after="0" w:line="240" w:lineRule="auto"/>
      <w:outlineLvl w:val="4"/>
    </w:pPr>
    <w:rPr>
      <w:rFonts w:asciiTheme="majorHAnsi" w:eastAsiaTheme="majorEastAsia" w:hAnsiTheme="majorHAnsi" w:cstheme="majorBidi"/>
      <w:color w:val="535353" w:themeColor="accent2" w:themeShade="BF"/>
      <w:sz w:val="24"/>
      <w:szCs w:val="24"/>
    </w:rPr>
  </w:style>
  <w:style w:type="paragraph" w:styleId="Heading6">
    <w:name w:val="heading 6"/>
    <w:basedOn w:val="Normal"/>
    <w:next w:val="Normal"/>
    <w:link w:val="Heading6Char"/>
    <w:uiPriority w:val="9"/>
    <w:semiHidden/>
    <w:unhideWhenUsed/>
    <w:qFormat/>
    <w:rsid w:val="00570D21"/>
    <w:pPr>
      <w:keepNext/>
      <w:keepLines/>
      <w:spacing w:before="80" w:after="0" w:line="240" w:lineRule="auto"/>
      <w:outlineLvl w:val="5"/>
    </w:pPr>
    <w:rPr>
      <w:rFonts w:asciiTheme="majorHAnsi" w:eastAsiaTheme="majorEastAsia" w:hAnsiTheme="majorHAnsi" w:cstheme="majorBidi"/>
      <w:i/>
      <w:iCs/>
      <w:color w:val="383838" w:themeColor="accent2" w:themeShade="80"/>
      <w:sz w:val="24"/>
      <w:szCs w:val="24"/>
    </w:rPr>
  </w:style>
  <w:style w:type="paragraph" w:styleId="Heading7">
    <w:name w:val="heading 7"/>
    <w:basedOn w:val="Normal"/>
    <w:next w:val="Normal"/>
    <w:link w:val="Heading7Char"/>
    <w:uiPriority w:val="9"/>
    <w:semiHidden/>
    <w:unhideWhenUsed/>
    <w:qFormat/>
    <w:rsid w:val="00570D21"/>
    <w:pPr>
      <w:keepNext/>
      <w:keepLines/>
      <w:spacing w:before="80" w:after="0" w:line="240" w:lineRule="auto"/>
      <w:outlineLvl w:val="6"/>
    </w:pPr>
    <w:rPr>
      <w:rFonts w:asciiTheme="majorHAnsi" w:eastAsiaTheme="majorEastAsia" w:hAnsiTheme="majorHAnsi" w:cstheme="majorBidi"/>
      <w:b/>
      <w:bCs/>
      <w:color w:val="383838" w:themeColor="accent2" w:themeShade="80"/>
      <w:sz w:val="22"/>
      <w:szCs w:val="22"/>
    </w:rPr>
  </w:style>
  <w:style w:type="paragraph" w:styleId="Heading8">
    <w:name w:val="heading 8"/>
    <w:basedOn w:val="Normal"/>
    <w:next w:val="Normal"/>
    <w:link w:val="Heading8Char"/>
    <w:uiPriority w:val="9"/>
    <w:semiHidden/>
    <w:unhideWhenUsed/>
    <w:qFormat/>
    <w:rsid w:val="00570D21"/>
    <w:pPr>
      <w:keepNext/>
      <w:keepLines/>
      <w:spacing w:before="80" w:after="0" w:line="240" w:lineRule="auto"/>
      <w:outlineLvl w:val="7"/>
    </w:pPr>
    <w:rPr>
      <w:rFonts w:asciiTheme="majorHAnsi" w:eastAsiaTheme="majorEastAsia" w:hAnsiTheme="majorHAnsi" w:cstheme="majorBidi"/>
      <w:color w:val="383838" w:themeColor="accent2" w:themeShade="80"/>
      <w:sz w:val="22"/>
      <w:szCs w:val="22"/>
    </w:rPr>
  </w:style>
  <w:style w:type="paragraph" w:styleId="Heading9">
    <w:name w:val="heading 9"/>
    <w:basedOn w:val="Normal"/>
    <w:next w:val="Normal"/>
    <w:link w:val="Heading9Char"/>
    <w:uiPriority w:val="9"/>
    <w:semiHidden/>
    <w:unhideWhenUsed/>
    <w:qFormat/>
    <w:rsid w:val="00570D21"/>
    <w:pPr>
      <w:keepNext/>
      <w:keepLines/>
      <w:spacing w:before="80" w:after="0" w:line="240" w:lineRule="auto"/>
      <w:outlineLvl w:val="8"/>
    </w:pPr>
    <w:rPr>
      <w:rFonts w:asciiTheme="majorHAnsi" w:eastAsiaTheme="majorEastAsia" w:hAnsiTheme="majorHAnsi" w:cstheme="majorBidi"/>
      <w:i/>
      <w:iCs/>
      <w:color w:val="383838"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70D2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D2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D2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D21"/>
    <w:rPr>
      <w:caps/>
      <w:color w:val="404040" w:themeColor="text1" w:themeTint="BF"/>
      <w:spacing w:val="20"/>
      <w:sz w:val="28"/>
      <w:szCs w:val="28"/>
    </w:rPr>
  </w:style>
  <w:style w:type="paragraph" w:styleId="Date">
    <w:name w:val="Date"/>
    <w:basedOn w:val="Normal"/>
    <w:next w:val="Normal"/>
    <w:link w:val="DateChar"/>
    <w:uiPriority w:val="99"/>
    <w:semiHidden/>
    <w:unhideWhenUsed/>
    <w:rsid w:val="008260A3"/>
  </w:style>
  <w:style w:type="character" w:customStyle="1" w:styleId="DateChar">
    <w:name w:val="Date Char"/>
    <w:basedOn w:val="DefaultParagraphFont"/>
    <w:link w:val="Date"/>
    <w:uiPriority w:val="99"/>
    <w:semiHidden/>
    <w:rsid w:val="008260A3"/>
  </w:style>
  <w:style w:type="character" w:customStyle="1" w:styleId="Heading1Char">
    <w:name w:val="Heading 1 Char"/>
    <w:basedOn w:val="DefaultParagraphFont"/>
    <w:link w:val="Heading1"/>
    <w:uiPriority w:val="9"/>
    <w:rsid w:val="00570D21"/>
    <w:rPr>
      <w:rFonts w:asciiTheme="majorHAnsi" w:eastAsiaTheme="majorEastAsia" w:hAnsiTheme="majorHAnsi" w:cstheme="majorBidi"/>
      <w:color w:val="262626" w:themeColor="text1" w:themeTint="D9"/>
      <w:sz w:val="40"/>
      <w:szCs w:val="40"/>
    </w:rPr>
  </w:style>
  <w:style w:type="table" w:styleId="LightList-Accent1">
    <w:name w:val="Light List Accent 1"/>
    <w:basedOn w:val="TableNormal"/>
    <w:uiPriority w:val="61"/>
    <w:rsid w:val="008260A3"/>
    <w:pPr>
      <w:spacing w:after="0" w:line="240" w:lineRule="auto"/>
    </w:pPr>
    <w:rPr>
      <w:rFonts w:eastAsiaTheme="minorHAnsi"/>
      <w:lang w:eastAsia="en-US"/>
    </w:rPr>
    <w:tblPr>
      <w:tblStyleRowBandSize w:val="1"/>
      <w:tblStyleColBandSize w:val="1"/>
      <w:tblBorders>
        <w:top w:val="single" w:sz="8" w:space="0" w:color="6E6E6E" w:themeColor="accent1"/>
        <w:left w:val="single" w:sz="8" w:space="0" w:color="6E6E6E" w:themeColor="accent1"/>
        <w:bottom w:val="single" w:sz="8" w:space="0" w:color="6E6E6E" w:themeColor="accent1"/>
        <w:right w:val="single" w:sz="8" w:space="0" w:color="6E6E6E" w:themeColor="accent1"/>
      </w:tblBorders>
    </w:tblPr>
    <w:tblStylePr w:type="firstRow">
      <w:pPr>
        <w:spacing w:before="0" w:after="0" w:line="240" w:lineRule="auto"/>
      </w:pPr>
      <w:rPr>
        <w:b/>
        <w:bCs/>
        <w:color w:val="FFFFFF" w:themeColor="background1"/>
      </w:rPr>
      <w:tblPr/>
      <w:tcPr>
        <w:shd w:val="clear" w:color="auto" w:fill="6E6E6E" w:themeFill="accent1"/>
      </w:tcPr>
    </w:tblStylePr>
    <w:tblStylePr w:type="lastRow">
      <w:pPr>
        <w:spacing w:before="0" w:after="0" w:line="240" w:lineRule="auto"/>
      </w:pPr>
      <w:rPr>
        <w:b/>
        <w:bCs/>
      </w:rPr>
      <w:tblPr/>
      <w:tcPr>
        <w:tcBorders>
          <w:top w:val="double" w:sz="6" w:space="0" w:color="6E6E6E" w:themeColor="accent1"/>
          <w:left w:val="single" w:sz="8" w:space="0" w:color="6E6E6E" w:themeColor="accent1"/>
          <w:bottom w:val="single" w:sz="8" w:space="0" w:color="6E6E6E" w:themeColor="accent1"/>
          <w:right w:val="single" w:sz="8" w:space="0" w:color="6E6E6E" w:themeColor="accent1"/>
        </w:tcBorders>
      </w:tcPr>
    </w:tblStylePr>
    <w:tblStylePr w:type="firstCol">
      <w:rPr>
        <w:b/>
        <w:bCs/>
      </w:rPr>
    </w:tblStylePr>
    <w:tblStylePr w:type="lastCol">
      <w:rPr>
        <w:b/>
        <w:bCs/>
      </w:rPr>
    </w:tblStylePr>
    <w:tblStylePr w:type="band1Vert">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tcPr>
    </w:tblStylePr>
    <w:tblStylePr w:type="band1Horz">
      <w:tblPr/>
      <w:tcPr>
        <w:tcBorders>
          <w:top w:val="single" w:sz="8" w:space="0" w:color="6E6E6E" w:themeColor="accent1"/>
          <w:left w:val="single" w:sz="8" w:space="0" w:color="6E6E6E" w:themeColor="accent1"/>
          <w:bottom w:val="single" w:sz="8" w:space="0" w:color="6E6E6E" w:themeColor="accent1"/>
          <w:right w:val="single" w:sz="8" w:space="0" w:color="6E6E6E" w:themeColor="accent1"/>
        </w:tcBorders>
      </w:tcPr>
    </w:tblStylePr>
  </w:style>
  <w:style w:type="table" w:styleId="TableGrid">
    <w:name w:val="Table Grid"/>
    <w:basedOn w:val="TableNormal"/>
    <w:uiPriority w:val="39"/>
    <w:rsid w:val="00447D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47D85"/>
    <w:rPr>
      <w:color w:val="5F5F5F" w:themeColor="hyperlink"/>
      <w:u w:val="single"/>
    </w:rPr>
  </w:style>
  <w:style w:type="character" w:styleId="UnresolvedMention">
    <w:name w:val="Unresolved Mention"/>
    <w:basedOn w:val="DefaultParagraphFont"/>
    <w:uiPriority w:val="99"/>
    <w:semiHidden/>
    <w:unhideWhenUsed/>
    <w:rsid w:val="00447D85"/>
    <w:rPr>
      <w:color w:val="605E5C"/>
      <w:shd w:val="clear" w:color="auto" w:fill="E1DFDD"/>
    </w:rPr>
  </w:style>
  <w:style w:type="paragraph" w:styleId="ListParagraph">
    <w:name w:val="List Paragraph"/>
    <w:basedOn w:val="Normal"/>
    <w:uiPriority w:val="34"/>
    <w:qFormat/>
    <w:rsid w:val="00447D85"/>
    <w:pPr>
      <w:ind w:left="720"/>
      <w:contextualSpacing/>
    </w:pPr>
  </w:style>
  <w:style w:type="paragraph" w:styleId="TOCHeading">
    <w:name w:val="TOC Heading"/>
    <w:basedOn w:val="Heading1"/>
    <w:next w:val="Normal"/>
    <w:uiPriority w:val="39"/>
    <w:unhideWhenUsed/>
    <w:qFormat/>
    <w:rsid w:val="00570D21"/>
    <w:pPr>
      <w:outlineLvl w:val="9"/>
    </w:pPr>
  </w:style>
  <w:style w:type="paragraph" w:styleId="TOC1">
    <w:name w:val="toc 1"/>
    <w:basedOn w:val="Normal"/>
    <w:next w:val="Normal"/>
    <w:autoRedefine/>
    <w:uiPriority w:val="39"/>
    <w:unhideWhenUsed/>
    <w:rsid w:val="00934DB9"/>
    <w:pPr>
      <w:spacing w:after="100"/>
    </w:pPr>
  </w:style>
  <w:style w:type="paragraph" w:styleId="BalloonText">
    <w:name w:val="Balloon Text"/>
    <w:basedOn w:val="Normal"/>
    <w:link w:val="BalloonTextChar"/>
    <w:uiPriority w:val="99"/>
    <w:semiHidden/>
    <w:unhideWhenUsed/>
    <w:rsid w:val="00360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EDF"/>
    <w:rPr>
      <w:rFonts w:ascii="Segoe UI" w:hAnsi="Segoe UI" w:cs="Segoe UI"/>
      <w:sz w:val="18"/>
      <w:szCs w:val="18"/>
    </w:rPr>
  </w:style>
  <w:style w:type="character" w:customStyle="1" w:styleId="Heading3Char">
    <w:name w:val="Heading 3 Char"/>
    <w:basedOn w:val="DefaultParagraphFont"/>
    <w:link w:val="Heading3"/>
    <w:uiPriority w:val="9"/>
    <w:semiHidden/>
    <w:rsid w:val="00570D21"/>
    <w:rPr>
      <w:rFonts w:asciiTheme="majorHAnsi" w:eastAsiaTheme="majorEastAsia" w:hAnsiTheme="majorHAnsi" w:cstheme="majorBidi"/>
      <w:color w:val="535353" w:themeColor="accent2" w:themeShade="BF"/>
      <w:sz w:val="32"/>
      <w:szCs w:val="32"/>
    </w:rPr>
  </w:style>
  <w:style w:type="character" w:styleId="CommentReference">
    <w:name w:val="annotation reference"/>
    <w:basedOn w:val="DefaultParagraphFont"/>
    <w:uiPriority w:val="99"/>
    <w:semiHidden/>
    <w:unhideWhenUsed/>
    <w:rsid w:val="00244EBD"/>
    <w:rPr>
      <w:sz w:val="16"/>
      <w:szCs w:val="16"/>
    </w:rPr>
  </w:style>
  <w:style w:type="paragraph" w:styleId="CommentText">
    <w:name w:val="annotation text"/>
    <w:basedOn w:val="Normal"/>
    <w:link w:val="CommentTextChar"/>
    <w:uiPriority w:val="99"/>
    <w:semiHidden/>
    <w:unhideWhenUsed/>
    <w:rsid w:val="00244EBD"/>
    <w:pPr>
      <w:spacing w:line="240" w:lineRule="auto"/>
    </w:pPr>
    <w:rPr>
      <w:sz w:val="20"/>
      <w:szCs w:val="20"/>
    </w:rPr>
  </w:style>
  <w:style w:type="character" w:customStyle="1" w:styleId="CommentTextChar">
    <w:name w:val="Comment Text Char"/>
    <w:basedOn w:val="DefaultParagraphFont"/>
    <w:link w:val="CommentText"/>
    <w:uiPriority w:val="99"/>
    <w:semiHidden/>
    <w:rsid w:val="00244EBD"/>
    <w:rPr>
      <w:sz w:val="20"/>
      <w:szCs w:val="20"/>
    </w:rPr>
  </w:style>
  <w:style w:type="paragraph" w:styleId="CommentSubject">
    <w:name w:val="annotation subject"/>
    <w:basedOn w:val="CommentText"/>
    <w:next w:val="CommentText"/>
    <w:link w:val="CommentSubjectChar"/>
    <w:uiPriority w:val="99"/>
    <w:semiHidden/>
    <w:unhideWhenUsed/>
    <w:rsid w:val="00244EBD"/>
    <w:rPr>
      <w:b/>
      <w:bCs/>
    </w:rPr>
  </w:style>
  <w:style w:type="character" w:customStyle="1" w:styleId="CommentSubjectChar">
    <w:name w:val="Comment Subject Char"/>
    <w:basedOn w:val="CommentTextChar"/>
    <w:link w:val="CommentSubject"/>
    <w:uiPriority w:val="99"/>
    <w:semiHidden/>
    <w:rsid w:val="00244EBD"/>
    <w:rPr>
      <w:b/>
      <w:bCs/>
      <w:sz w:val="20"/>
      <w:szCs w:val="20"/>
    </w:rPr>
  </w:style>
  <w:style w:type="paragraph" w:styleId="NoSpacing">
    <w:name w:val="No Spacing"/>
    <w:uiPriority w:val="1"/>
    <w:qFormat/>
    <w:rsid w:val="00570D21"/>
    <w:pPr>
      <w:spacing w:after="0" w:line="240" w:lineRule="auto"/>
    </w:pPr>
  </w:style>
  <w:style w:type="paragraph" w:styleId="Header">
    <w:name w:val="header"/>
    <w:basedOn w:val="Normal"/>
    <w:link w:val="HeaderChar"/>
    <w:uiPriority w:val="99"/>
    <w:unhideWhenUsed/>
    <w:rsid w:val="00EB6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4C7"/>
  </w:style>
  <w:style w:type="paragraph" w:styleId="Footer">
    <w:name w:val="footer"/>
    <w:basedOn w:val="Normal"/>
    <w:link w:val="FooterChar"/>
    <w:uiPriority w:val="99"/>
    <w:unhideWhenUsed/>
    <w:rsid w:val="00EB6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C7"/>
  </w:style>
  <w:style w:type="table" w:styleId="GridTable4-Accent6">
    <w:name w:val="Grid Table 4 Accent 6"/>
    <w:basedOn w:val="TableNormal"/>
    <w:uiPriority w:val="49"/>
    <w:rsid w:val="00570D21"/>
    <w:pPr>
      <w:spacing w:after="0" w:line="240" w:lineRule="auto"/>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character" w:customStyle="1" w:styleId="Heading2Char">
    <w:name w:val="Heading 2 Char"/>
    <w:basedOn w:val="DefaultParagraphFont"/>
    <w:link w:val="Heading2"/>
    <w:uiPriority w:val="9"/>
    <w:rsid w:val="00570D21"/>
    <w:rPr>
      <w:rFonts w:asciiTheme="majorHAnsi" w:eastAsiaTheme="majorEastAsia" w:hAnsiTheme="majorHAnsi" w:cstheme="majorBidi"/>
      <w:color w:val="707070" w:themeColor="accent2"/>
      <w:sz w:val="36"/>
      <w:szCs w:val="36"/>
    </w:rPr>
  </w:style>
  <w:style w:type="character" w:customStyle="1" w:styleId="Heading4Char">
    <w:name w:val="Heading 4 Char"/>
    <w:basedOn w:val="DefaultParagraphFont"/>
    <w:link w:val="Heading4"/>
    <w:uiPriority w:val="9"/>
    <w:semiHidden/>
    <w:rsid w:val="00570D21"/>
    <w:rPr>
      <w:rFonts w:asciiTheme="majorHAnsi" w:eastAsiaTheme="majorEastAsia" w:hAnsiTheme="majorHAnsi" w:cstheme="majorBidi"/>
      <w:i/>
      <w:iCs/>
      <w:color w:val="383838" w:themeColor="accent2" w:themeShade="80"/>
      <w:sz w:val="28"/>
      <w:szCs w:val="28"/>
    </w:rPr>
  </w:style>
  <w:style w:type="character" w:customStyle="1" w:styleId="Heading5Char">
    <w:name w:val="Heading 5 Char"/>
    <w:basedOn w:val="DefaultParagraphFont"/>
    <w:link w:val="Heading5"/>
    <w:uiPriority w:val="9"/>
    <w:semiHidden/>
    <w:rsid w:val="00570D21"/>
    <w:rPr>
      <w:rFonts w:asciiTheme="majorHAnsi" w:eastAsiaTheme="majorEastAsia" w:hAnsiTheme="majorHAnsi" w:cstheme="majorBidi"/>
      <w:color w:val="535353" w:themeColor="accent2" w:themeShade="BF"/>
      <w:sz w:val="24"/>
      <w:szCs w:val="24"/>
    </w:rPr>
  </w:style>
  <w:style w:type="character" w:customStyle="1" w:styleId="Heading6Char">
    <w:name w:val="Heading 6 Char"/>
    <w:basedOn w:val="DefaultParagraphFont"/>
    <w:link w:val="Heading6"/>
    <w:uiPriority w:val="9"/>
    <w:semiHidden/>
    <w:rsid w:val="00570D21"/>
    <w:rPr>
      <w:rFonts w:asciiTheme="majorHAnsi" w:eastAsiaTheme="majorEastAsia" w:hAnsiTheme="majorHAnsi" w:cstheme="majorBidi"/>
      <w:i/>
      <w:iCs/>
      <w:color w:val="383838" w:themeColor="accent2" w:themeShade="80"/>
      <w:sz w:val="24"/>
      <w:szCs w:val="24"/>
    </w:rPr>
  </w:style>
  <w:style w:type="character" w:customStyle="1" w:styleId="Heading7Char">
    <w:name w:val="Heading 7 Char"/>
    <w:basedOn w:val="DefaultParagraphFont"/>
    <w:link w:val="Heading7"/>
    <w:uiPriority w:val="9"/>
    <w:semiHidden/>
    <w:rsid w:val="00570D21"/>
    <w:rPr>
      <w:rFonts w:asciiTheme="majorHAnsi" w:eastAsiaTheme="majorEastAsia" w:hAnsiTheme="majorHAnsi" w:cstheme="majorBidi"/>
      <w:b/>
      <w:bCs/>
      <w:color w:val="383838" w:themeColor="accent2" w:themeShade="80"/>
      <w:sz w:val="22"/>
      <w:szCs w:val="22"/>
    </w:rPr>
  </w:style>
  <w:style w:type="character" w:customStyle="1" w:styleId="Heading8Char">
    <w:name w:val="Heading 8 Char"/>
    <w:basedOn w:val="DefaultParagraphFont"/>
    <w:link w:val="Heading8"/>
    <w:uiPriority w:val="9"/>
    <w:semiHidden/>
    <w:rsid w:val="00570D21"/>
    <w:rPr>
      <w:rFonts w:asciiTheme="majorHAnsi" w:eastAsiaTheme="majorEastAsia" w:hAnsiTheme="majorHAnsi" w:cstheme="majorBidi"/>
      <w:color w:val="383838" w:themeColor="accent2" w:themeShade="80"/>
      <w:sz w:val="22"/>
      <w:szCs w:val="22"/>
    </w:rPr>
  </w:style>
  <w:style w:type="character" w:customStyle="1" w:styleId="Heading9Char">
    <w:name w:val="Heading 9 Char"/>
    <w:basedOn w:val="DefaultParagraphFont"/>
    <w:link w:val="Heading9"/>
    <w:uiPriority w:val="9"/>
    <w:semiHidden/>
    <w:rsid w:val="00570D21"/>
    <w:rPr>
      <w:rFonts w:asciiTheme="majorHAnsi" w:eastAsiaTheme="majorEastAsia" w:hAnsiTheme="majorHAnsi" w:cstheme="majorBidi"/>
      <w:i/>
      <w:iCs/>
      <w:color w:val="383838" w:themeColor="accent2" w:themeShade="80"/>
      <w:sz w:val="22"/>
      <w:szCs w:val="22"/>
    </w:rPr>
  </w:style>
  <w:style w:type="paragraph" w:styleId="Caption">
    <w:name w:val="caption"/>
    <w:basedOn w:val="Normal"/>
    <w:next w:val="Normal"/>
    <w:uiPriority w:val="35"/>
    <w:semiHidden/>
    <w:unhideWhenUsed/>
    <w:qFormat/>
    <w:rsid w:val="00570D21"/>
    <w:pPr>
      <w:spacing w:line="240" w:lineRule="auto"/>
    </w:pPr>
    <w:rPr>
      <w:b/>
      <w:bCs/>
      <w:color w:val="404040" w:themeColor="text1" w:themeTint="BF"/>
      <w:sz w:val="16"/>
      <w:szCs w:val="16"/>
    </w:rPr>
  </w:style>
  <w:style w:type="character" w:styleId="Strong">
    <w:name w:val="Strong"/>
    <w:basedOn w:val="DefaultParagraphFont"/>
    <w:uiPriority w:val="22"/>
    <w:qFormat/>
    <w:rsid w:val="00570D21"/>
    <w:rPr>
      <w:b/>
      <w:bCs/>
    </w:rPr>
  </w:style>
  <w:style w:type="character" w:styleId="Emphasis">
    <w:name w:val="Emphasis"/>
    <w:basedOn w:val="DefaultParagraphFont"/>
    <w:uiPriority w:val="20"/>
    <w:qFormat/>
    <w:rsid w:val="00570D21"/>
    <w:rPr>
      <w:i/>
      <w:iCs/>
      <w:color w:val="000000" w:themeColor="text1"/>
    </w:rPr>
  </w:style>
  <w:style w:type="paragraph" w:styleId="Quote">
    <w:name w:val="Quote"/>
    <w:basedOn w:val="Normal"/>
    <w:next w:val="Normal"/>
    <w:link w:val="QuoteChar"/>
    <w:uiPriority w:val="29"/>
    <w:qFormat/>
    <w:rsid w:val="00570D2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D2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D21"/>
    <w:pPr>
      <w:pBdr>
        <w:top w:val="single" w:sz="24" w:space="4" w:color="707070"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D2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D21"/>
    <w:rPr>
      <w:i/>
      <w:iCs/>
      <w:color w:val="595959" w:themeColor="text1" w:themeTint="A6"/>
    </w:rPr>
  </w:style>
  <w:style w:type="character" w:styleId="IntenseEmphasis">
    <w:name w:val="Intense Emphasis"/>
    <w:basedOn w:val="DefaultParagraphFont"/>
    <w:uiPriority w:val="21"/>
    <w:qFormat/>
    <w:rsid w:val="00570D21"/>
    <w:rPr>
      <w:b/>
      <w:bCs/>
      <w:i/>
      <w:iCs/>
      <w:caps w:val="0"/>
      <w:smallCaps w:val="0"/>
      <w:strike w:val="0"/>
      <w:dstrike w:val="0"/>
      <w:color w:val="707070" w:themeColor="accent2"/>
    </w:rPr>
  </w:style>
  <w:style w:type="character" w:styleId="SubtleReference">
    <w:name w:val="Subtle Reference"/>
    <w:basedOn w:val="DefaultParagraphFont"/>
    <w:uiPriority w:val="31"/>
    <w:qFormat/>
    <w:rsid w:val="00570D2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70D21"/>
    <w:rPr>
      <w:b/>
      <w:bCs/>
      <w:caps w:val="0"/>
      <w:smallCaps/>
      <w:color w:val="auto"/>
      <w:spacing w:val="0"/>
      <w:u w:val="single"/>
    </w:rPr>
  </w:style>
  <w:style w:type="character" w:styleId="BookTitle">
    <w:name w:val="Book Title"/>
    <w:basedOn w:val="DefaultParagraphFont"/>
    <w:uiPriority w:val="33"/>
    <w:qFormat/>
    <w:rsid w:val="00570D21"/>
    <w:rPr>
      <w:b/>
      <w:bCs/>
      <w:caps w:val="0"/>
      <w:smallCaps/>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59492">
      <w:bodyDiv w:val="1"/>
      <w:marLeft w:val="0"/>
      <w:marRight w:val="0"/>
      <w:marTop w:val="0"/>
      <w:marBottom w:val="0"/>
      <w:divBdr>
        <w:top w:val="none" w:sz="0" w:space="0" w:color="auto"/>
        <w:left w:val="none" w:sz="0" w:space="0" w:color="auto"/>
        <w:bottom w:val="none" w:sz="0" w:space="0" w:color="auto"/>
        <w:right w:val="none" w:sz="0" w:space="0" w:color="auto"/>
      </w:divBdr>
    </w:div>
    <w:div w:id="214976592">
      <w:bodyDiv w:val="1"/>
      <w:marLeft w:val="0"/>
      <w:marRight w:val="0"/>
      <w:marTop w:val="0"/>
      <w:marBottom w:val="0"/>
      <w:divBdr>
        <w:top w:val="none" w:sz="0" w:space="0" w:color="auto"/>
        <w:left w:val="none" w:sz="0" w:space="0" w:color="auto"/>
        <w:bottom w:val="none" w:sz="0" w:space="0" w:color="auto"/>
        <w:right w:val="none" w:sz="0" w:space="0" w:color="auto"/>
      </w:divBdr>
    </w:div>
    <w:div w:id="798844474">
      <w:bodyDiv w:val="1"/>
      <w:marLeft w:val="0"/>
      <w:marRight w:val="0"/>
      <w:marTop w:val="0"/>
      <w:marBottom w:val="0"/>
      <w:divBdr>
        <w:top w:val="none" w:sz="0" w:space="0" w:color="auto"/>
        <w:left w:val="none" w:sz="0" w:space="0" w:color="auto"/>
        <w:bottom w:val="none" w:sz="0" w:space="0" w:color="auto"/>
        <w:right w:val="none" w:sz="0" w:space="0" w:color="auto"/>
      </w:divBdr>
    </w:div>
    <w:div w:id="999623000">
      <w:bodyDiv w:val="1"/>
      <w:marLeft w:val="0"/>
      <w:marRight w:val="0"/>
      <w:marTop w:val="0"/>
      <w:marBottom w:val="0"/>
      <w:divBdr>
        <w:top w:val="none" w:sz="0" w:space="0" w:color="auto"/>
        <w:left w:val="none" w:sz="0" w:space="0" w:color="auto"/>
        <w:bottom w:val="none" w:sz="0" w:space="0" w:color="auto"/>
        <w:right w:val="none" w:sz="0" w:space="0" w:color="auto"/>
      </w:divBdr>
    </w:div>
    <w:div w:id="1164735056">
      <w:bodyDiv w:val="1"/>
      <w:marLeft w:val="0"/>
      <w:marRight w:val="0"/>
      <w:marTop w:val="0"/>
      <w:marBottom w:val="0"/>
      <w:divBdr>
        <w:top w:val="none" w:sz="0" w:space="0" w:color="auto"/>
        <w:left w:val="none" w:sz="0" w:space="0" w:color="auto"/>
        <w:bottom w:val="none" w:sz="0" w:space="0" w:color="auto"/>
        <w:right w:val="none" w:sz="0" w:space="0" w:color="auto"/>
      </w:divBdr>
    </w:div>
    <w:div w:id="1391539390">
      <w:bodyDiv w:val="1"/>
      <w:marLeft w:val="0"/>
      <w:marRight w:val="0"/>
      <w:marTop w:val="0"/>
      <w:marBottom w:val="0"/>
      <w:divBdr>
        <w:top w:val="none" w:sz="0" w:space="0" w:color="auto"/>
        <w:left w:val="none" w:sz="0" w:space="0" w:color="auto"/>
        <w:bottom w:val="none" w:sz="0" w:space="0" w:color="auto"/>
        <w:right w:val="none" w:sz="0" w:space="0" w:color="auto"/>
      </w:divBdr>
    </w:div>
    <w:div w:id="1582445616">
      <w:bodyDiv w:val="1"/>
      <w:marLeft w:val="0"/>
      <w:marRight w:val="0"/>
      <w:marTop w:val="0"/>
      <w:marBottom w:val="0"/>
      <w:divBdr>
        <w:top w:val="none" w:sz="0" w:space="0" w:color="auto"/>
        <w:left w:val="none" w:sz="0" w:space="0" w:color="auto"/>
        <w:bottom w:val="none" w:sz="0" w:space="0" w:color="auto"/>
        <w:right w:val="none" w:sz="0" w:space="0" w:color="auto"/>
      </w:divBdr>
    </w:div>
    <w:div w:id="183174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ysClr val="windowText" lastClr="000000"/>
      </a:dk1>
      <a:lt1>
        <a:sysClr val="window" lastClr="FFFFFF"/>
      </a:lt1>
      <a:dk2>
        <a:srgbClr val="000000"/>
      </a:dk2>
      <a:lt2>
        <a:srgbClr val="F8F8F8"/>
      </a:lt2>
      <a:accent1>
        <a:srgbClr val="6E6E6E"/>
      </a:accent1>
      <a:accent2>
        <a:srgbClr val="707070"/>
      </a:accent2>
      <a:accent3>
        <a:srgbClr val="B2B2B2"/>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D0D85-49AE-4A46-AD9E-FF6FCA291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Lim</dc:creator>
  <cp:keywords/>
  <dc:description/>
  <cp:lastModifiedBy>Bulch, Alex (ISED/ISDE)</cp:lastModifiedBy>
  <cp:revision>18</cp:revision>
  <dcterms:created xsi:type="dcterms:W3CDTF">2021-08-11T15:01:00Z</dcterms:created>
  <dcterms:modified xsi:type="dcterms:W3CDTF">2021-12-02T16:53:00Z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-1999540892</vt:i4>
  </property>
  <property fmtid="{D5CDD505-2E9C-101B-9397-08002B2CF9AE}" pid="3" name="_NewReviewCycle">
    <vt:lpwstr/>
  </property>
  <property fmtid="{D5CDD505-2E9C-101B-9397-08002B2CF9AE}" pid="4" name="_EmailSubject">
    <vt:lpwstr>ISED: CyberSecure eLearning: documents require translation services with Open Text</vt:lpwstr>
  </property>
  <property fmtid="{D5CDD505-2E9C-101B-9397-08002B2CF9AE}" pid="5" name="_AuthorEmail">
    <vt:lpwstr>nadia.lombardi@ised-isde.gc.ca</vt:lpwstr>
  </property>
  <property fmtid="{D5CDD505-2E9C-101B-9397-08002B2CF9AE}" pid="6" name="_AuthorEmailDisplayName">
    <vt:lpwstr>Lombardi, Nadia (ISED/ISDE)</vt:lpwstr>
  </property>
  <property fmtid="{D5CDD505-2E9C-101B-9397-08002B2CF9AE}" pid="7" name="_PreviousAdHocReviewCycleID">
    <vt:i4>596561883</vt:i4>
  </property>
  <property fmtid="{D5CDD505-2E9C-101B-9397-08002B2CF9AE}" pid="8" name="_ReviewingToolsShownOnce">
    <vt:lpwstr/>
  </property>
</Properties>
</file>