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73EB1" w:rsidRDefault="00472ED8">
      <w:pPr>
        <w:spacing w:line="276" w:lineRule="auto"/>
        <w:ind w:hanging="2"/>
        <w:rPr>
          <w:rFonts w:ascii="Arial" w:eastAsia="Arial" w:hAnsi="Arial" w:cs="Arial"/>
        </w:rPr>
      </w:pPr>
      <w:r>
        <w:rPr>
          <w:rFonts w:ascii="Arial" w:eastAsia="Arial" w:hAnsi="Arial" w:cs="Arial"/>
        </w:rPr>
        <w:t>31 March 2026</w:t>
      </w:r>
    </w:p>
    <w:p w:rsidR="00773EB1" w:rsidRDefault="00773EB1">
      <w:pPr>
        <w:spacing w:line="276" w:lineRule="auto"/>
        <w:ind w:hanging="2"/>
        <w:rPr>
          <w:rFonts w:ascii="Arial" w:eastAsia="Arial" w:hAnsi="Arial" w:cs="Arial"/>
        </w:rPr>
      </w:pPr>
    </w:p>
    <w:p w:rsidR="00773EB1" w:rsidRDefault="00472ED8">
      <w:pPr>
        <w:spacing w:line="276" w:lineRule="auto"/>
        <w:ind w:firstLine="0"/>
        <w:rPr>
          <w:rFonts w:ascii="Arial" w:eastAsia="Arial" w:hAnsi="Arial" w:cs="Arial"/>
        </w:rPr>
      </w:pPr>
      <w:r>
        <w:rPr>
          <w:rFonts w:ascii="Arial" w:eastAsia="Arial" w:hAnsi="Arial" w:cs="Arial"/>
        </w:rPr>
        <w:t>Senior Director</w:t>
      </w:r>
    </w:p>
    <w:p w:rsidR="00773EB1" w:rsidRDefault="00472ED8">
      <w:pPr>
        <w:spacing w:line="276" w:lineRule="auto"/>
        <w:ind w:hanging="2"/>
        <w:rPr>
          <w:rFonts w:ascii="Arial" w:eastAsia="Arial" w:hAnsi="Arial" w:cs="Arial"/>
        </w:rPr>
      </w:pPr>
      <w:r>
        <w:rPr>
          <w:rFonts w:ascii="Arial" w:eastAsia="Arial" w:hAnsi="Arial" w:cs="Arial"/>
        </w:rPr>
        <w:t>Regulatory Policy</w:t>
      </w:r>
    </w:p>
    <w:p w:rsidR="00773EB1" w:rsidRDefault="00472ED8">
      <w:pPr>
        <w:spacing w:line="276" w:lineRule="auto"/>
        <w:ind w:hanging="2"/>
        <w:rPr>
          <w:rFonts w:ascii="Arial" w:eastAsia="Arial" w:hAnsi="Arial" w:cs="Arial"/>
        </w:rPr>
      </w:pPr>
      <w:r>
        <w:rPr>
          <w:rFonts w:ascii="Arial" w:eastAsia="Arial" w:hAnsi="Arial" w:cs="Arial"/>
        </w:rPr>
        <w:t>Spectrum Licensing Policy Branch</w:t>
      </w:r>
    </w:p>
    <w:p w:rsidR="00773EB1" w:rsidRDefault="00472ED8">
      <w:pPr>
        <w:spacing w:line="276" w:lineRule="auto"/>
        <w:ind w:hanging="2"/>
        <w:rPr>
          <w:rFonts w:ascii="Arial" w:eastAsia="Arial" w:hAnsi="Arial" w:cs="Arial"/>
        </w:rPr>
      </w:pPr>
      <w:r>
        <w:rPr>
          <w:rFonts w:ascii="Arial" w:eastAsia="Arial" w:hAnsi="Arial" w:cs="Arial"/>
        </w:rPr>
        <w:t>Innovation, Science and Economic Development Canada</w:t>
      </w:r>
    </w:p>
    <w:p w:rsidR="00773EB1" w:rsidRDefault="00472ED8">
      <w:pPr>
        <w:spacing w:line="276" w:lineRule="auto"/>
        <w:ind w:hanging="2"/>
        <w:rPr>
          <w:rFonts w:ascii="Arial" w:eastAsia="Arial" w:hAnsi="Arial" w:cs="Arial"/>
        </w:rPr>
      </w:pPr>
      <w:r>
        <w:rPr>
          <w:rFonts w:ascii="Arial" w:eastAsia="Arial" w:hAnsi="Arial" w:cs="Arial"/>
        </w:rPr>
        <w:t>235 Queen Street, East Tower, 6th Floor</w:t>
      </w:r>
    </w:p>
    <w:p w:rsidR="00773EB1" w:rsidRDefault="00472ED8">
      <w:pPr>
        <w:spacing w:line="276" w:lineRule="auto"/>
        <w:ind w:hanging="2"/>
        <w:rPr>
          <w:rFonts w:ascii="Arial" w:eastAsia="Arial" w:hAnsi="Arial" w:cs="Arial"/>
        </w:rPr>
      </w:pPr>
      <w:r>
        <w:rPr>
          <w:rFonts w:ascii="Arial" w:eastAsia="Arial" w:hAnsi="Arial" w:cs="Arial"/>
        </w:rPr>
        <w:t>Ottawa, Ontario</w:t>
      </w:r>
    </w:p>
    <w:p w:rsidR="00773EB1" w:rsidRDefault="00472ED8">
      <w:pPr>
        <w:spacing w:line="276" w:lineRule="auto"/>
        <w:ind w:hanging="2"/>
        <w:rPr>
          <w:rFonts w:ascii="Arial" w:eastAsia="Arial" w:hAnsi="Arial" w:cs="Arial"/>
        </w:rPr>
      </w:pPr>
      <w:r>
        <w:rPr>
          <w:rFonts w:ascii="Arial" w:eastAsia="Arial" w:hAnsi="Arial" w:cs="Arial"/>
        </w:rPr>
        <w:t xml:space="preserve">K1A 0H5  </w:t>
      </w:r>
    </w:p>
    <w:p w:rsidR="00773EB1" w:rsidRDefault="00773EB1">
      <w:pPr>
        <w:spacing w:line="276" w:lineRule="auto"/>
        <w:ind w:hanging="2"/>
        <w:rPr>
          <w:rFonts w:ascii="Arial" w:eastAsia="Arial" w:hAnsi="Arial" w:cs="Arial"/>
        </w:rPr>
      </w:pPr>
    </w:p>
    <w:p w:rsidR="00773EB1" w:rsidRDefault="00472ED8">
      <w:pPr>
        <w:spacing w:line="276" w:lineRule="auto"/>
        <w:ind w:hanging="2"/>
        <w:rPr>
          <w:rFonts w:ascii="Arial" w:eastAsia="Arial" w:hAnsi="Arial" w:cs="Arial"/>
        </w:rPr>
      </w:pPr>
      <w:r>
        <w:rPr>
          <w:rFonts w:ascii="Arial" w:eastAsia="Arial" w:hAnsi="Arial" w:cs="Arial"/>
        </w:rPr>
        <w:t xml:space="preserve">By e-mail: </w:t>
      </w:r>
      <w:hyperlink r:id="rId7">
        <w:r>
          <w:rPr>
            <w:rFonts w:ascii="Arial" w:eastAsia="Arial" w:hAnsi="Arial" w:cs="Arial"/>
            <w:color w:val="1155CC"/>
            <w:u w:val="single"/>
          </w:rPr>
          <w:t>spectrumauctions-encheresduspectre@ised-isde.gc.ca</w:t>
        </w:r>
      </w:hyperlink>
      <w:r>
        <w:rPr>
          <w:rFonts w:ascii="Arial" w:eastAsia="Arial" w:hAnsi="Arial" w:cs="Arial"/>
        </w:rPr>
        <w:t xml:space="preserve"> </w:t>
      </w:r>
    </w:p>
    <w:p w:rsidR="00773EB1" w:rsidRDefault="00773EB1">
      <w:pPr>
        <w:spacing w:line="276" w:lineRule="auto"/>
        <w:ind w:hanging="2"/>
        <w:rPr>
          <w:rFonts w:ascii="Arial" w:eastAsia="Arial" w:hAnsi="Arial" w:cs="Arial"/>
        </w:rPr>
      </w:pPr>
    </w:p>
    <w:p w:rsidR="00773EB1" w:rsidRDefault="00472ED8">
      <w:pPr>
        <w:keepNext/>
        <w:pBdr>
          <w:top w:val="nil"/>
          <w:left w:val="nil"/>
          <w:bottom w:val="single" w:sz="4" w:space="2" w:color="AF3C43"/>
          <w:right w:val="nil"/>
          <w:between w:val="nil"/>
        </w:pBdr>
        <w:shd w:val="clear" w:color="auto" w:fill="F9F9F9"/>
        <w:spacing w:after="48" w:line="276" w:lineRule="auto"/>
        <w:ind w:hanging="2"/>
        <w:rPr>
          <w:rFonts w:ascii="Arial" w:eastAsia="Arial" w:hAnsi="Arial" w:cs="Arial"/>
          <w:b/>
          <w:bCs/>
        </w:rPr>
      </w:pPr>
      <w:r>
        <w:rPr>
          <w:rFonts w:ascii="Arial" w:eastAsia="Arial" w:hAnsi="Arial" w:cs="Arial"/>
          <w:b/>
          <w:bCs/>
        </w:rPr>
        <w:t xml:space="preserve">Re: Gazette Notice, Part I, February 14, 2026, Notice No. SPB-002-26 - </w:t>
      </w:r>
      <w:r>
        <w:rPr>
          <w:rFonts w:ascii="Arial" w:eastAsia="Arial" w:hAnsi="Arial" w:cs="Arial"/>
          <w:b/>
          <w:bCs/>
          <w:i/>
          <w:iCs/>
        </w:rPr>
        <w:t xml:space="preserve">Consultation on the Revisions to the 2500-2690 MHz Band Plan </w:t>
      </w:r>
      <w:r>
        <w:rPr>
          <w:rFonts w:ascii="Arial" w:eastAsia="Arial" w:hAnsi="Arial" w:cs="Arial"/>
          <w:b/>
          <w:bCs/>
        </w:rPr>
        <w:t>- Cogeco Comments</w:t>
      </w:r>
    </w:p>
    <w:p w:rsidR="00773EB1" w:rsidRDefault="00773EB1">
      <w:pPr>
        <w:spacing w:line="276" w:lineRule="auto"/>
        <w:ind w:hanging="2"/>
        <w:jc w:val="both"/>
        <w:rPr>
          <w:rFonts w:ascii="Arial" w:eastAsia="Arial" w:hAnsi="Arial" w:cs="Arial"/>
        </w:rPr>
      </w:pPr>
    </w:p>
    <w:p w:rsidR="00773EB1" w:rsidRDefault="00472ED8">
      <w:pPr>
        <w:spacing w:after="120"/>
        <w:ind w:hanging="2"/>
        <w:jc w:val="both"/>
        <w:rPr>
          <w:rFonts w:ascii="Arial" w:eastAsia="Arial" w:hAnsi="Arial" w:cs="Arial"/>
        </w:rPr>
      </w:pPr>
      <w:r>
        <w:rPr>
          <w:rFonts w:ascii="Arial" w:eastAsia="Arial" w:hAnsi="Arial" w:cs="Arial"/>
        </w:rPr>
        <w:t>Cogeco Communications Inc., on behalf of Cogeco Connexion Inc. (“Cogeco”), hereby submits the attached comments to Innovation, Science and Economic Development Canada</w:t>
      </w:r>
      <w:bookmarkStart w:id="0" w:name="_GoBack"/>
      <w:bookmarkEnd w:id="0"/>
      <w:r>
        <w:rPr>
          <w:rFonts w:ascii="Arial" w:eastAsia="Arial" w:hAnsi="Arial" w:cs="Arial"/>
        </w:rPr>
        <w:t xml:space="preserve"> in response to the above-noted consultation.</w:t>
      </w:r>
    </w:p>
    <w:p w:rsidR="00773EB1" w:rsidRDefault="00773EB1">
      <w:pPr>
        <w:spacing w:after="120"/>
        <w:ind w:hanging="2"/>
        <w:jc w:val="both"/>
        <w:rPr>
          <w:rFonts w:ascii="Arial" w:eastAsia="Arial" w:hAnsi="Arial" w:cs="Arial"/>
        </w:rPr>
      </w:pPr>
    </w:p>
    <w:p w:rsidR="00773EB1" w:rsidRDefault="00472ED8">
      <w:pPr>
        <w:spacing w:after="120"/>
        <w:ind w:hanging="2"/>
        <w:jc w:val="both"/>
        <w:rPr>
          <w:rFonts w:ascii="Arial" w:eastAsia="Arial" w:hAnsi="Arial" w:cs="Arial"/>
        </w:rPr>
      </w:pPr>
      <w:r>
        <w:rPr>
          <w:rFonts w:ascii="Arial" w:eastAsia="Arial" w:hAnsi="Arial" w:cs="Arial"/>
        </w:rPr>
        <w:t>Yours truly,</w:t>
      </w:r>
    </w:p>
    <w:p w:rsidR="00773EB1" w:rsidRDefault="00472ED8">
      <w:pPr>
        <w:spacing w:line="276" w:lineRule="auto"/>
        <w:ind w:hanging="2"/>
        <w:jc w:val="both"/>
        <w:rPr>
          <w:rFonts w:ascii="Arial" w:eastAsia="Arial" w:hAnsi="Arial" w:cs="Arial"/>
        </w:rPr>
      </w:pPr>
      <w:r>
        <w:rPr>
          <w:noProof/>
        </w:rPr>
        <w:drawing>
          <wp:inline distT="0" distB="0" distL="0" distR="0">
            <wp:extent cx="1905635" cy="662940"/>
            <wp:effectExtent l="0" t="0" r="0" b="0"/>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905635" cy="662940"/>
                    </a:xfrm>
                    <a:prstGeom prst="rect">
                      <a:avLst/>
                    </a:prstGeom>
                    <a:ln/>
                  </pic:spPr>
                </pic:pic>
              </a:graphicData>
            </a:graphic>
          </wp:inline>
        </w:drawing>
      </w:r>
    </w:p>
    <w:p w:rsidR="00773EB1" w:rsidRDefault="00472ED8">
      <w:pPr>
        <w:spacing w:line="276" w:lineRule="auto"/>
        <w:ind w:hanging="2"/>
        <w:rPr>
          <w:rFonts w:ascii="Arial" w:eastAsia="Arial" w:hAnsi="Arial" w:cs="Arial"/>
        </w:rPr>
      </w:pPr>
      <w:r>
        <w:rPr>
          <w:rFonts w:ascii="Arial" w:eastAsia="Arial" w:hAnsi="Arial" w:cs="Arial"/>
        </w:rPr>
        <w:t>Paul Beaudry</w:t>
      </w:r>
    </w:p>
    <w:p w:rsidR="00773EB1" w:rsidRDefault="00472ED8">
      <w:pPr>
        <w:spacing w:line="276" w:lineRule="auto"/>
        <w:ind w:hanging="2"/>
        <w:rPr>
          <w:rFonts w:ascii="Arial" w:eastAsia="Arial" w:hAnsi="Arial" w:cs="Arial"/>
        </w:rPr>
      </w:pPr>
      <w:r>
        <w:rPr>
          <w:rFonts w:ascii="Arial" w:eastAsia="Arial" w:hAnsi="Arial" w:cs="Arial"/>
        </w:rPr>
        <w:t>Vice President, Regulatory and Corporate Affairs</w:t>
      </w:r>
    </w:p>
    <w:p w:rsidR="00773EB1" w:rsidRDefault="00472ED8">
      <w:pPr>
        <w:spacing w:line="276" w:lineRule="auto"/>
        <w:ind w:hanging="2"/>
        <w:rPr>
          <w:rFonts w:ascii="Arial" w:eastAsia="Arial" w:hAnsi="Arial" w:cs="Arial"/>
          <w:i/>
          <w:iCs/>
          <w:sz w:val="22"/>
          <w:szCs w:val="22"/>
        </w:rPr>
      </w:pPr>
      <w:r>
        <w:rPr>
          <w:rFonts w:ascii="Arial" w:eastAsia="Arial" w:hAnsi="Arial" w:cs="Arial"/>
          <w:i/>
          <w:iCs/>
          <w:sz w:val="22"/>
          <w:szCs w:val="22"/>
        </w:rPr>
        <w:t>/NJ</w:t>
      </w:r>
    </w:p>
    <w:p w:rsidR="00773EB1" w:rsidRDefault="00773EB1">
      <w:pPr>
        <w:spacing w:line="276" w:lineRule="auto"/>
        <w:ind w:hanging="2"/>
        <w:rPr>
          <w:rFonts w:ascii="Arial" w:eastAsia="Arial" w:hAnsi="Arial" w:cs="Arial"/>
        </w:rPr>
      </w:pPr>
    </w:p>
    <w:p w:rsidR="00773EB1" w:rsidRDefault="00773EB1">
      <w:pPr>
        <w:tabs>
          <w:tab w:val="left" w:pos="567"/>
        </w:tabs>
        <w:spacing w:line="276" w:lineRule="auto"/>
        <w:ind w:hanging="2"/>
        <w:rPr>
          <w:rFonts w:ascii="Arial" w:eastAsia="Arial" w:hAnsi="Arial" w:cs="Arial"/>
          <w:sz w:val="20"/>
          <w:szCs w:val="20"/>
        </w:rPr>
      </w:pPr>
    </w:p>
    <w:p w:rsidR="00773EB1" w:rsidRDefault="00773EB1">
      <w:pPr>
        <w:tabs>
          <w:tab w:val="left" w:pos="567"/>
        </w:tabs>
        <w:spacing w:line="276" w:lineRule="auto"/>
        <w:ind w:hanging="2"/>
        <w:rPr>
          <w:rFonts w:ascii="Arial" w:eastAsia="Arial" w:hAnsi="Arial" w:cs="Arial"/>
          <w:sz w:val="20"/>
          <w:szCs w:val="20"/>
        </w:rPr>
      </w:pPr>
    </w:p>
    <w:p w:rsidR="00773EB1" w:rsidRDefault="00472ED8">
      <w:pPr>
        <w:rPr>
          <w:rFonts w:ascii="Arial" w:eastAsia="Arial" w:hAnsi="Arial" w:cs="Arial"/>
          <w:sz w:val="20"/>
          <w:szCs w:val="20"/>
        </w:rPr>
      </w:pPr>
      <w:r>
        <w:br w:type="page"/>
      </w: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noProof/>
        </w:rPr>
        <w:lastRenderedPageBreak/>
        <mc:AlternateContent>
          <mc:Choice Requires="wps">
            <w:drawing>
              <wp:anchor distT="0" distB="0" distL="0" distR="0" simplePos="0" relativeHeight="251658240" behindDoc="1" locked="0" layoutInCell="1" hidden="0" allowOverlap="1">
                <wp:simplePos x="0" y="0"/>
                <wp:positionH relativeFrom="column">
                  <wp:posOffset>-52070</wp:posOffset>
                </wp:positionH>
                <wp:positionV relativeFrom="paragraph">
                  <wp:posOffset>-205105</wp:posOffset>
                </wp:positionV>
                <wp:extent cx="5886450" cy="8097571"/>
                <wp:effectExtent l="0" t="0" r="0" b="0"/>
                <wp:wrapNone/>
                <wp:docPr id="31" name=""/>
                <wp:cNvGraphicFramePr/>
                <a:graphic xmlns:a="http://schemas.openxmlformats.org/drawingml/2006/main">
                  <a:graphicData uri="http://schemas.microsoft.com/office/word/2010/wordprocessingShape">
                    <wps:wsp>
                      <wps:cNvSpPr/>
                      <wps:spPr>
                        <a:xfrm>
                          <a:off x="0" y="0"/>
                          <a:ext cx="5886450" cy="8097571"/>
                        </a:xfrm>
                        <a:prstGeom prst="rect">
                          <a:avLst/>
                        </a:prstGeom>
                        <a:noFill/>
                        <a:ln w="28575" cap="flat" cmpd="sng">
                          <a:solidFill>
                            <a:srgbClr val="000000"/>
                          </a:solidFill>
                          <a:prstDash val="solid"/>
                          <a:round/>
                          <a:headEnd type="none" w="sm" len="sm"/>
                          <a:tailEnd type="none" w="sm" len="sm"/>
                        </a:ln>
                      </wps:spPr>
                      <wps:txbx>
                        <w:txbxContent>
                          <w:p w:rsidR="00773EB1" w:rsidRDefault="00773EB1">
                            <w:pPr>
                              <w:ind w:firstLine="0"/>
                              <w:jc w:val="center"/>
                              <w:textDirection w:val="btLr"/>
                            </w:pPr>
                          </w:p>
                        </w:txbxContent>
                      </wps:txbx>
                      <wps:bodyPr spcFirstLastPara="1" wrap="square" lIns="91425" tIns="91425" rIns="91425" bIns="91425" anchor="ctr" anchorCtr="0">
                        <a:noAutofit/>
                      </wps:bodyPr>
                    </wps:wsp>
                  </a:graphicData>
                </a:graphic>
              </wp:anchor>
            </w:drawing>
          </mc:Choice>
          <mc:Fallback>
            <w:pict>
              <v:rect id="_x0000_s1026" style="position:absolute;left:0;text-align:left;margin-left:-4.1pt;margin-top:-16.15pt;width:463.5pt;height:637.6pt;z-index:-25165824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" filled="f" strokeweight="2.25pt">
                <v:stroke startarrowwidth="narrow" startarrowlength="short" endarrowwidth="narrow" endarrowlength="short" joinstyle="round"/>
                <v:textbox inset="2.53958mm,2.53958mm,2.53958mm,2.53958mm">
                  <w:txbxContent>
                    <w:p w:rsidR="00773EB1" w:rsidRDefault="00773EB1">
                      <w:pPr>
                        <w:ind w:firstLine="0"/>
                        <w:jc w:val="center"/>
                        <w:textDirection w:val="btLr"/>
                      </w:pPr>
                    </w:p>
                  </w:txbxContent>
                </v:textbox>
              </v:rect>
            </w:pict>
          </mc:Fallback>
        </mc:AlternateContent>
      </w: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CANADA GAZETTE NOTICE NO. SPB-002-26</w:t>
      </w: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CONSULTATION ON THE REVISIONS TO THE 2500-2690 MHZ BAND PLAN</w:t>
      </w: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i/>
          <w:iCs/>
        </w:rPr>
      </w:pPr>
      <w:r>
        <w:rPr>
          <w:rFonts w:ascii="Arial" w:eastAsia="Arial" w:hAnsi="Arial" w:cs="Arial"/>
          <w:b/>
          <w:bCs/>
        </w:rPr>
        <w:t xml:space="preserve">PUBLISHED IN THE </w:t>
      </w:r>
      <w:r>
        <w:rPr>
          <w:rFonts w:ascii="Arial" w:eastAsia="Arial" w:hAnsi="Arial" w:cs="Arial"/>
          <w:b/>
          <w:bCs/>
          <w:i/>
          <w:iCs/>
        </w:rPr>
        <w:t>CANADA GAZETTE, PART 1</w:t>
      </w: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ON 14 FEBRUARY 2026</w:t>
      </w: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 xml:space="preserve">COMMENTS </w:t>
      </w: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 xml:space="preserve">OF </w:t>
      </w: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COGECO COMMUNICATIONS INC.</w:t>
      </w: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rPr>
          <w:rFonts w:ascii="Arial" w:eastAsia="Arial" w:hAnsi="Arial" w:cs="Arial"/>
          <w:b/>
          <w:bCs/>
        </w:rPr>
      </w:pPr>
    </w:p>
    <w:p w:rsidR="00773EB1" w:rsidRDefault="00773EB1">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sectPr w:rsidR="00773EB1">
          <w:headerReference w:type="even" r:id="rId9"/>
          <w:headerReference w:type="default" r:id="rId10"/>
          <w:footerReference w:type="even" r:id="rId11"/>
          <w:footerReference w:type="default" r:id="rId12"/>
          <w:headerReference w:type="first" r:id="rId13"/>
          <w:footerReference w:type="first" r:id="rId14"/>
          <w:pgSz w:w="12240" w:h="15840"/>
          <w:pgMar w:top="1418" w:right="1418" w:bottom="1418" w:left="1890" w:header="720" w:footer="720" w:gutter="0"/>
          <w:pgNumType w:start="1"/>
          <w:cols w:space="720"/>
          <w:titlePg/>
        </w:sectPr>
      </w:pPr>
      <w:r>
        <w:rPr>
          <w:rFonts w:ascii="Arial" w:eastAsia="Arial" w:hAnsi="Arial" w:cs="Arial"/>
          <w:b/>
          <w:bCs/>
        </w:rPr>
        <w:t>31 MARCH 2026</w:t>
      </w:r>
    </w:p>
    <w:p w:rsidR="00773EB1" w:rsidRDefault="00472ED8">
      <w:pPr>
        <w:pBdr>
          <w:top w:val="nil"/>
          <w:left w:val="nil"/>
          <w:bottom w:val="nil"/>
          <w:right w:val="nil"/>
          <w:between w:val="nil"/>
        </w:pBdr>
        <w:tabs>
          <w:tab w:val="left" w:pos="540"/>
        </w:tabs>
        <w:spacing w:after="240" w:line="276" w:lineRule="auto"/>
        <w:ind w:hanging="2"/>
        <w:rPr>
          <w:rFonts w:ascii="Arial" w:eastAsia="Arial" w:hAnsi="Arial" w:cs="Arial"/>
          <w:b/>
          <w:bCs/>
          <w:u w:val="single"/>
        </w:rPr>
      </w:pPr>
      <w:r>
        <w:rPr>
          <w:rFonts w:ascii="Arial" w:eastAsia="Arial" w:hAnsi="Arial" w:cs="Arial"/>
          <w:b/>
          <w:bCs/>
          <w:u w:val="single"/>
        </w:rPr>
        <w:lastRenderedPageBreak/>
        <w:t>General Comments on the Revisions to the 2500-2690 MHz Band Plan</w:t>
      </w:r>
    </w:p>
    <w:p w:rsidR="00773EB1" w:rsidRDefault="00472ED8">
      <w:pPr>
        <w:spacing w:after="120"/>
        <w:ind w:hanging="2"/>
        <w:jc w:val="both"/>
        <w:rPr>
          <w:rFonts w:ascii="Arial" w:eastAsia="Arial" w:hAnsi="Arial" w:cs="Arial"/>
        </w:rPr>
      </w:pPr>
      <w:r>
        <w:rPr>
          <w:rFonts w:ascii="Arial" w:eastAsia="Arial" w:hAnsi="Arial" w:cs="Arial"/>
        </w:rPr>
        <w:t xml:space="preserve">Cogeco is in general agreement with the proposals set out in Innovation, Science and Economic Development Canada’s (“ISED” or the “Department”) </w:t>
      </w:r>
      <w:r>
        <w:rPr>
          <w:rFonts w:ascii="Arial" w:eastAsia="Arial" w:hAnsi="Arial" w:cs="Arial"/>
          <w:i/>
          <w:iCs/>
        </w:rPr>
        <w:t>Consultation on the Revisions to the 2500-2690 MHz Band Plan</w:t>
      </w:r>
      <w:r>
        <w:rPr>
          <w:rFonts w:ascii="Arial" w:eastAsia="Arial" w:hAnsi="Arial" w:cs="Arial"/>
        </w:rPr>
        <w:t xml:space="preserve"> (the “Consultation”) to revise the band plan of 2500-2690 MHz to unpaired TDD-use.</w:t>
      </w:r>
    </w:p>
    <w:p w:rsidR="00773EB1" w:rsidRDefault="00472ED8">
      <w:pPr>
        <w:spacing w:after="120"/>
        <w:ind w:hanging="2"/>
        <w:jc w:val="both"/>
        <w:rPr>
          <w:rFonts w:ascii="Arial" w:eastAsia="Arial" w:hAnsi="Arial" w:cs="Arial"/>
        </w:rPr>
      </w:pPr>
      <w:r>
        <w:rPr>
          <w:rFonts w:ascii="Arial" w:eastAsia="Arial" w:hAnsi="Arial" w:cs="Arial"/>
        </w:rPr>
        <w:t>Over the past few years, an industry-lead working group, with all current 2500 MHz spectrum licence holders in Canada, has held regular meetings to discuss the BRS transition. Cogeco understands that the findings and recommendations of this working group have previously been shared with the Department, with many of the questions in this consultation touching upon consensus items from that working group. Accordingly, the responses provided by Cogeco largely reflect those consensus positions.</w:t>
      </w:r>
    </w:p>
    <w:p w:rsidR="00773EB1" w:rsidRDefault="00472ED8">
      <w:pPr>
        <w:spacing w:after="120"/>
        <w:ind w:hanging="2"/>
        <w:jc w:val="both"/>
        <w:rPr>
          <w:rFonts w:ascii="Arial" w:eastAsia="Arial" w:hAnsi="Arial" w:cs="Arial"/>
        </w:rPr>
      </w:pPr>
      <w:r>
        <w:rPr>
          <w:rFonts w:ascii="Arial" w:eastAsia="Arial" w:hAnsi="Arial" w:cs="Arial"/>
        </w:rPr>
        <w:t>Nevertheless, there are several considerations specific to Cogeco that warrant the Department's attention. As a holder of BRS licences from the 2018 residual auction, Cogeco is subject to deployment obligations that take effect in 2028, coinciding precisely with the proposed commencement of the transition. This overlap introduces significant regulatory and operational uncertainty regarding the deployment of Band 7 and Band 38 radios. For a new entrant like Cogeco, tasked with the complex challenge of establishing wireless infrastructure from the ground up, these obligations fundamentally dictate the strategic allocation of capital. Should deployment requirements remain rigid leading up to and during the shift to unpaired TDD-use, any infrastructure deployed to meet short-term compliance would face immediate technical obsolescence. Furthermore, such a scenario would create barriers to the early deployment of Band 41 and hinder industry efforts to achieve spectral contiguity for all operators. Consequently, maintaining legacy Band 7 and Band 38 deployment requirements would result in a truncated lifecycle for this equipment with no viable business case for capacity enhancements during the transition period.</w:t>
      </w:r>
    </w:p>
    <w:p w:rsidR="00773EB1" w:rsidRDefault="00472ED8">
      <w:pPr>
        <w:spacing w:after="120"/>
        <w:ind w:hanging="2"/>
        <w:jc w:val="both"/>
        <w:rPr>
          <w:rFonts w:ascii="Arial" w:eastAsia="Arial" w:hAnsi="Arial" w:cs="Arial"/>
        </w:rPr>
      </w:pPr>
      <w:r>
        <w:rPr>
          <w:rFonts w:ascii="Arial" w:eastAsia="Arial" w:hAnsi="Arial" w:cs="Arial"/>
        </w:rPr>
        <w:t xml:space="preserve">While Cogeco is aware that some carriers prefer a later start to the transition to unpaired TDD-use in 2033, this later start still ensures any infrastructure deployed to meet short-term compliance for Cogeco would face technical obsolescence with a truncated lifecycle. </w:t>
      </w:r>
    </w:p>
    <w:p w:rsidR="00773EB1" w:rsidRDefault="00472ED8">
      <w:pPr>
        <w:spacing w:after="120"/>
        <w:ind w:hanging="2"/>
        <w:jc w:val="both"/>
        <w:rPr>
          <w:rFonts w:ascii="Arial" w:eastAsia="Arial" w:hAnsi="Arial" w:cs="Arial"/>
        </w:rPr>
      </w:pPr>
      <w:r>
        <w:rPr>
          <w:rFonts w:ascii="Arial" w:eastAsia="Arial" w:hAnsi="Arial" w:cs="Arial"/>
        </w:rPr>
        <w:t>Irrespective of the specific timeline for the transition, Cogeco requests that the Department suspend all Band 7 and Band 38 deployment obligations until the transition is finalized, at which point a five-year window should be established to reinstate the pre-transition deployment requirements. As an alternative, the Department could implement a freeze on existing deployment obligations. This alternative measure would ensure that current infrastructure within these bands does not deteriorate leading up to the transition, while effectively discouraging the deployment of equipment for short-term compliance obligations with equipment that would be subject to immediate technical obsolescence and a truncated lifecycle.</w:t>
      </w:r>
    </w:p>
    <w:p w:rsidR="00773EB1" w:rsidRDefault="00472ED8">
      <w:pPr>
        <w:spacing w:after="120"/>
        <w:ind w:hanging="2"/>
        <w:jc w:val="both"/>
        <w:rPr>
          <w:rFonts w:ascii="Arial" w:eastAsia="Arial" w:hAnsi="Arial" w:cs="Arial"/>
          <w:b/>
          <w:bCs/>
        </w:rPr>
      </w:pPr>
      <w:r>
        <w:rPr>
          <w:rFonts w:ascii="Arial" w:eastAsia="Arial" w:hAnsi="Arial" w:cs="Arial"/>
          <w:b/>
          <w:bCs/>
        </w:rPr>
        <w:lastRenderedPageBreak/>
        <w:t>Q1</w:t>
      </w:r>
    </w:p>
    <w:p w:rsidR="00773EB1" w:rsidRDefault="00472ED8">
      <w:pPr>
        <w:spacing w:after="120"/>
        <w:ind w:hanging="2"/>
        <w:jc w:val="both"/>
        <w:rPr>
          <w:rFonts w:ascii="Arial" w:eastAsia="Arial" w:hAnsi="Arial" w:cs="Arial"/>
          <w:b/>
          <w:bCs/>
        </w:rPr>
      </w:pPr>
      <w:r>
        <w:rPr>
          <w:rFonts w:ascii="Arial" w:eastAsia="Arial" w:hAnsi="Arial" w:cs="Arial"/>
          <w:b/>
          <w:bCs/>
        </w:rPr>
        <w:t xml:space="preserve">ISED is seeking comments on its proposal to revise the band plan to an unpaired band plan in 2500-2690 </w:t>
      </w:r>
      <w:proofErr w:type="spellStart"/>
      <w:r>
        <w:rPr>
          <w:rFonts w:ascii="Arial" w:eastAsia="Arial" w:hAnsi="Arial" w:cs="Arial"/>
          <w:b/>
          <w:bCs/>
        </w:rPr>
        <w:t>MHz.</w:t>
      </w:r>
      <w:proofErr w:type="spellEnd"/>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b/>
          <w:bCs/>
        </w:rPr>
      </w:pPr>
      <w:r>
        <w:rPr>
          <w:rFonts w:ascii="Arial" w:eastAsia="Arial" w:hAnsi="Arial" w:cs="Arial"/>
          <w:b/>
          <w:bCs/>
        </w:rPr>
        <w:t>ANSWER</w:t>
      </w:r>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rPr>
      </w:pPr>
      <w:r>
        <w:rPr>
          <w:rFonts w:ascii="Arial" w:eastAsia="Arial" w:hAnsi="Arial" w:cs="Arial"/>
        </w:rPr>
        <w:t>Cogeco strongly supports ISED’s proposal to revise the band plan of 2500–2690 MHz to a unified, unpaired TDD-use architecture. This is a vital step in ensuring that Canadian networks can meet the increasing demand for high-speed data while remaining cost-competitive.</w:t>
      </w:r>
    </w:p>
    <w:p w:rsidR="00773EB1" w:rsidRDefault="00472ED8">
      <w:pPr>
        <w:spacing w:after="120"/>
        <w:ind w:hanging="2"/>
        <w:jc w:val="both"/>
        <w:rPr>
          <w:rFonts w:ascii="Arial" w:eastAsia="Arial" w:hAnsi="Arial" w:cs="Arial"/>
        </w:rPr>
      </w:pPr>
      <w:r>
        <w:rPr>
          <w:rFonts w:ascii="Arial" w:eastAsia="Arial" w:hAnsi="Arial" w:cs="Arial"/>
        </w:rPr>
        <w:t>The history of 2500 MHz in Canada is inextricably linked to the challenges of cross-border coordination with the United States. In late 2024, after years of negotiations, the major Canadian carriers and affected U.S. operators entered into a Cooperation and Coordination Agreement. This agreement was designed to mitigate interference along the border by designating primary and secondary use of 2500 MHz blocks, allowing each carrier to have unencumbered access to at least a portion of their spectrum.</w:t>
      </w:r>
    </w:p>
    <w:p w:rsidR="00773EB1" w:rsidRDefault="00472ED8">
      <w:pPr>
        <w:spacing w:after="120"/>
        <w:ind w:hanging="2"/>
        <w:jc w:val="both"/>
        <w:rPr>
          <w:rFonts w:ascii="Arial" w:eastAsia="Arial" w:hAnsi="Arial" w:cs="Arial"/>
        </w:rPr>
      </w:pPr>
      <w:r>
        <w:rPr>
          <w:rFonts w:ascii="Arial" w:eastAsia="Arial" w:hAnsi="Arial" w:cs="Arial"/>
        </w:rPr>
        <w:t>While this agreement was a significant achievement for the industry, it remains a stopgap measure. The technical reality is that as long as Canadian and U.S. band plans are mismatched (due to mixed TDD and FDD use in Canada), full spectral efficiency will be unattainable in border markets, and unfortunately these affected border markets are some of the most populous markets in Canada. The proposed transition to a unified TDD plan allows for cross-border synchronization. By aligning the time slots of Canadian and U.S. base stations, operators can virtually eliminate the interference that currently renders large swaths of the FDD spectrum unusable in border areas. This proactive strategy is essential for the long-term sustainability of networks in regions where the majority of Canadians live - within 100 km of the U.S. border.</w:t>
      </w:r>
    </w:p>
    <w:p w:rsidR="00773EB1" w:rsidRDefault="00472ED8">
      <w:pPr>
        <w:spacing w:after="120"/>
        <w:ind w:hanging="2"/>
        <w:jc w:val="both"/>
        <w:rPr>
          <w:rFonts w:ascii="Arial" w:eastAsia="Arial" w:hAnsi="Arial" w:cs="Arial"/>
          <w:i/>
          <w:iCs/>
        </w:rPr>
      </w:pPr>
      <w:r>
        <w:rPr>
          <w:rFonts w:ascii="Arial" w:eastAsia="Arial" w:hAnsi="Arial" w:cs="Arial"/>
        </w:rPr>
        <w:t>Finally, while aligning spectrum use along the border is essential, if such a limited geographic solution is adopted, it only moves the interference issue further inland and to more Canadian operators. Accordingly, a solution needs to be adopted across the Canadian band plan, and this ISED proposal to revise the band plan of 2500–2690 MHz to a unified, unpaired TDD-use architecture is the best solution.</w:t>
      </w:r>
    </w:p>
    <w:p w:rsidR="00773EB1" w:rsidRDefault="00773EB1">
      <w:pPr>
        <w:spacing w:after="120"/>
        <w:ind w:hanging="2"/>
        <w:jc w:val="both"/>
        <w:rPr>
          <w:rFonts w:ascii="Arial" w:eastAsia="Arial" w:hAnsi="Arial" w:cs="Arial"/>
          <w:i/>
          <w:iCs/>
        </w:rPr>
      </w:pPr>
    </w:p>
    <w:p w:rsidR="00773EB1" w:rsidRDefault="00773EB1">
      <w:pPr>
        <w:spacing w:after="120"/>
        <w:ind w:hanging="2"/>
        <w:jc w:val="both"/>
        <w:rPr>
          <w:rFonts w:ascii="Arial" w:eastAsia="Arial" w:hAnsi="Arial" w:cs="Arial"/>
          <w:i/>
          <w:iCs/>
        </w:rPr>
      </w:pPr>
    </w:p>
    <w:p w:rsidR="00773EB1" w:rsidRDefault="00472ED8">
      <w:pPr>
        <w:spacing w:after="120"/>
        <w:ind w:hanging="2"/>
        <w:jc w:val="both"/>
        <w:rPr>
          <w:rFonts w:ascii="Arial" w:eastAsia="Arial" w:hAnsi="Arial" w:cs="Arial"/>
          <w:b/>
          <w:bCs/>
        </w:rPr>
      </w:pPr>
      <w:r>
        <w:br w:type="page"/>
      </w:r>
    </w:p>
    <w:p w:rsidR="00773EB1" w:rsidRDefault="00472ED8">
      <w:pPr>
        <w:spacing w:after="120"/>
        <w:ind w:hanging="2"/>
        <w:jc w:val="both"/>
        <w:rPr>
          <w:rFonts w:ascii="Arial" w:eastAsia="Arial" w:hAnsi="Arial" w:cs="Arial"/>
          <w:b/>
          <w:bCs/>
        </w:rPr>
      </w:pPr>
      <w:r>
        <w:rPr>
          <w:rFonts w:ascii="Arial" w:eastAsia="Arial" w:hAnsi="Arial" w:cs="Arial"/>
          <w:b/>
          <w:bCs/>
        </w:rPr>
        <w:lastRenderedPageBreak/>
        <w:t>Q2</w:t>
      </w:r>
    </w:p>
    <w:p w:rsidR="00773EB1" w:rsidRDefault="00472ED8">
      <w:pPr>
        <w:spacing w:after="120"/>
        <w:ind w:hanging="2"/>
        <w:jc w:val="both"/>
        <w:rPr>
          <w:rFonts w:ascii="Arial" w:eastAsia="Arial" w:hAnsi="Arial" w:cs="Arial"/>
          <w:b/>
          <w:bCs/>
        </w:rPr>
      </w:pPr>
      <w:r>
        <w:rPr>
          <w:rFonts w:ascii="Arial" w:eastAsia="Arial" w:hAnsi="Arial" w:cs="Arial"/>
          <w:b/>
          <w:bCs/>
        </w:rPr>
        <w:t>ISED is seeking comments on whether starting the transition to an unpaired band plan in 2028 is appropriate and how long licensees may require to complete the transition.</w:t>
      </w:r>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b/>
          <w:bCs/>
        </w:rPr>
      </w:pPr>
      <w:r>
        <w:rPr>
          <w:rFonts w:ascii="Arial" w:eastAsia="Arial" w:hAnsi="Arial" w:cs="Arial"/>
          <w:b/>
          <w:bCs/>
        </w:rPr>
        <w:t>ANSWER</w:t>
      </w:r>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rPr>
      </w:pPr>
      <w:r>
        <w:rPr>
          <w:rFonts w:ascii="Arial" w:eastAsia="Arial" w:hAnsi="Arial" w:cs="Arial"/>
        </w:rPr>
        <w:t>Cogeco agrees that starting the transition to an unpaired band plan in 2028 is appropriate, provided the timeline is implemented with a clear understanding of the operational and financial constraints facing regional operators.</w:t>
      </w:r>
    </w:p>
    <w:p w:rsidR="00773EB1" w:rsidRDefault="00472ED8">
      <w:pPr>
        <w:spacing w:after="120"/>
        <w:ind w:hanging="2"/>
        <w:jc w:val="both"/>
        <w:rPr>
          <w:rFonts w:ascii="Arial" w:eastAsia="Arial" w:hAnsi="Arial" w:cs="Arial"/>
          <w:b/>
          <w:bCs/>
        </w:rPr>
      </w:pPr>
      <w:r>
        <w:rPr>
          <w:rFonts w:ascii="Arial" w:eastAsia="Arial" w:hAnsi="Arial" w:cs="Arial"/>
          <w:b/>
          <w:bCs/>
        </w:rPr>
        <w:t>Accommodating Capital Investment Cycles</w:t>
      </w:r>
    </w:p>
    <w:p w:rsidR="00773EB1" w:rsidRDefault="00472ED8">
      <w:pPr>
        <w:spacing w:after="120"/>
        <w:ind w:hanging="2"/>
        <w:jc w:val="both"/>
        <w:rPr>
          <w:rFonts w:ascii="Arial" w:eastAsia="Arial" w:hAnsi="Arial" w:cs="Arial"/>
        </w:rPr>
      </w:pPr>
      <w:r>
        <w:rPr>
          <w:rFonts w:ascii="Arial" w:eastAsia="Arial" w:hAnsi="Arial" w:cs="Arial"/>
        </w:rPr>
        <w:t xml:space="preserve">The telecommunications industry is characterized by long-term capital investment cycles. Many licensees, including Cogeco, have made significant investments in existing Band 7 and Band 38 infrastructure to meet the deployment obligations set during the 2014 and 2018 auctions and subsequent license renewals. A transition starting in 2028 provides a reasonable window for investments from licence holders from the 2014 auction to reach the end of their useful life before they are replaced with new TDD-only hardware. </w:t>
      </w:r>
    </w:p>
    <w:p w:rsidR="00773EB1" w:rsidRDefault="00472ED8">
      <w:pPr>
        <w:spacing w:after="120"/>
        <w:ind w:hanging="2"/>
        <w:jc w:val="both"/>
        <w:rPr>
          <w:rFonts w:ascii="Arial" w:eastAsia="Arial" w:hAnsi="Arial" w:cs="Arial"/>
        </w:rPr>
      </w:pPr>
      <w:r>
        <w:rPr>
          <w:rFonts w:ascii="Arial" w:eastAsia="Arial" w:hAnsi="Arial" w:cs="Arial"/>
        </w:rPr>
        <w:t>However, for carriers who hold licences from the 2018 residual auction and only have deployment obligations starting in 2028, a transition framework that explicitly delays or pauses these deployment obligations will provide the flexibility necessary to shift toward future-ready technology. Such a delay to deployment obligations is essential since forcing deployment just as the band plan transitions to Band 41 would result in the immediate technical obsolescence of newly installed Band 7 and Band 38 infrastructure. By providing this regulatory relief, ISED would allow new entrants to bypass the installation of legacy equipment and instead focus their capital on deploying native Band 41 TDD hardware that aligns with the new band plan.</w:t>
      </w:r>
    </w:p>
    <w:p w:rsidR="00773EB1" w:rsidRDefault="00472ED8">
      <w:pPr>
        <w:spacing w:after="120"/>
        <w:ind w:hanging="2"/>
        <w:jc w:val="both"/>
        <w:rPr>
          <w:rFonts w:ascii="Arial" w:eastAsia="Arial" w:hAnsi="Arial" w:cs="Arial"/>
        </w:rPr>
      </w:pPr>
      <w:r>
        <w:rPr>
          <w:rFonts w:ascii="Arial" w:eastAsia="Arial" w:hAnsi="Arial" w:cs="Arial"/>
        </w:rPr>
        <w:t>Alternatively, while Cogeco remains of the view that a more immediate transition would better serve the interests of Canadians, we recognize that other carriers prefer a transition beginning in 2033. Cogeco could support this later date subject to specific modifications. First, ISED should allow for the early utilization of Band 41-capable radio equipment, provided that any potential interference with legacy Band 7 operations is resolved through inter-carrier coordination. Furthermore, the Department must relax the 2028 deployment obligations for Band 7 and Band 38. By allowing for the direct deployment of Band 41 hardware in Band 38 spectrum, to be placed into service only upon the formal completion of the transition, operators can avoid the risk of immediate technical obsolescence. This approach ensures that while network investment remains consistent, capital is focused on future-ready technology rather than legacy infrastructure that offers a truncated lifecycle.</w:t>
      </w:r>
    </w:p>
    <w:p w:rsidR="00773EB1" w:rsidRDefault="00472ED8">
      <w:pPr>
        <w:spacing w:after="120"/>
        <w:ind w:hanging="2"/>
        <w:jc w:val="both"/>
        <w:rPr>
          <w:rFonts w:ascii="Arial" w:eastAsia="Arial" w:hAnsi="Arial" w:cs="Arial"/>
        </w:rPr>
      </w:pPr>
      <w:r>
        <w:rPr>
          <w:rFonts w:ascii="Arial" w:eastAsia="Arial" w:hAnsi="Arial" w:cs="Arial"/>
        </w:rPr>
        <w:lastRenderedPageBreak/>
        <w:t xml:space="preserve">Finally, Cogeco recommends that the transition be completed as a single, unified transition date, executed on a market-by-market basis as noted in our response to Q4a. below. This will ensure that all FDD spectrum within a given area is converted to TDD-use simultaneously. </w:t>
      </w:r>
    </w:p>
    <w:p w:rsidR="00773EB1" w:rsidRDefault="00472ED8">
      <w:pPr>
        <w:spacing w:after="120"/>
        <w:ind w:hanging="2"/>
        <w:jc w:val="both"/>
        <w:rPr>
          <w:rFonts w:ascii="Arial" w:eastAsia="Arial" w:hAnsi="Arial" w:cs="Arial"/>
          <w:b/>
          <w:bCs/>
        </w:rPr>
      </w:pPr>
      <w:r>
        <w:rPr>
          <w:rFonts w:ascii="Arial" w:eastAsia="Arial" w:hAnsi="Arial" w:cs="Arial"/>
          <w:b/>
          <w:bCs/>
        </w:rPr>
        <w:t>Technical Standards</w:t>
      </w:r>
    </w:p>
    <w:p w:rsidR="00773EB1" w:rsidRDefault="00472ED8">
      <w:pPr>
        <w:spacing w:after="120"/>
        <w:ind w:hanging="2"/>
        <w:jc w:val="both"/>
        <w:rPr>
          <w:rFonts w:ascii="Arial" w:eastAsia="Arial" w:hAnsi="Arial" w:cs="Arial"/>
        </w:rPr>
      </w:pPr>
      <w:r>
        <w:rPr>
          <w:rFonts w:ascii="Arial" w:eastAsia="Arial" w:hAnsi="Arial" w:cs="Arial"/>
        </w:rPr>
        <w:t>A successful 2028 transition is contingent upon the timely update of the relevant technical standards</w:t>
      </w:r>
      <w:r>
        <w:rPr>
          <w:rFonts w:ascii="Arial" w:eastAsia="Arial" w:hAnsi="Arial" w:cs="Arial"/>
          <w:vertAlign w:val="superscript"/>
        </w:rPr>
        <w:footnoteReference w:id="1"/>
      </w:r>
      <w:r>
        <w:rPr>
          <w:rFonts w:ascii="Arial" w:eastAsia="Arial" w:hAnsi="Arial" w:cs="Arial"/>
        </w:rPr>
        <w:t>. Cogeco respectfully requests that ISED begin the consultation and issuance of updated standards no later than this year. The goal should be to finalize these standards as quickly as possible prior to the commencement of the transition.</w:t>
      </w:r>
    </w:p>
    <w:p w:rsidR="00773EB1" w:rsidRDefault="00472ED8">
      <w:pPr>
        <w:spacing w:after="120"/>
        <w:ind w:hanging="2"/>
        <w:jc w:val="both"/>
        <w:rPr>
          <w:rFonts w:ascii="Arial" w:eastAsia="Arial" w:hAnsi="Arial" w:cs="Arial"/>
          <w:b/>
          <w:bCs/>
        </w:rPr>
      </w:pPr>
      <w:r>
        <w:rPr>
          <w:rFonts w:ascii="Arial" w:eastAsia="Arial" w:hAnsi="Arial" w:cs="Arial"/>
        </w:rPr>
        <w:t>Equipment vendors typically require 12 to 24 months to develop, test, and certify new radio units that conform to a new band plan. Without early clarity on the technical requirements, operators will be unable to finalize their network designs or schedule their deployment cadences effectively. Cogeco also advocates for a collaborative approach where industry stakeholders contribute to a draft proposal for the updated standards to ensure they accurately reflect modern technological capabilities, such as active antenna systems and carrier aggregation.</w:t>
      </w:r>
      <w:r>
        <w:br w:type="page"/>
      </w:r>
    </w:p>
    <w:p w:rsidR="00773EB1" w:rsidRDefault="00472ED8">
      <w:pPr>
        <w:spacing w:after="120"/>
        <w:ind w:hanging="2"/>
        <w:jc w:val="both"/>
        <w:rPr>
          <w:rFonts w:ascii="Arial" w:eastAsia="Arial" w:hAnsi="Arial" w:cs="Arial"/>
          <w:b/>
          <w:bCs/>
        </w:rPr>
      </w:pPr>
      <w:r>
        <w:rPr>
          <w:rFonts w:ascii="Arial" w:eastAsia="Arial" w:hAnsi="Arial" w:cs="Arial"/>
          <w:b/>
          <w:bCs/>
        </w:rPr>
        <w:lastRenderedPageBreak/>
        <w:t>Q3</w:t>
      </w:r>
    </w:p>
    <w:p w:rsidR="00773EB1" w:rsidRDefault="00472ED8">
      <w:pPr>
        <w:spacing w:after="120"/>
        <w:ind w:hanging="2"/>
        <w:jc w:val="both"/>
        <w:rPr>
          <w:rFonts w:ascii="Arial" w:eastAsia="Arial" w:hAnsi="Arial" w:cs="Arial"/>
          <w:b/>
          <w:bCs/>
        </w:rPr>
      </w:pPr>
      <w:r>
        <w:rPr>
          <w:rFonts w:ascii="Arial" w:eastAsia="Arial" w:hAnsi="Arial" w:cs="Arial"/>
          <w:b/>
          <w:bCs/>
        </w:rPr>
        <w:t>ISED is seeking comments on whether deployment requirements should be adjusted in anticipation of transition to the new band plan.</w:t>
      </w:r>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b/>
          <w:bCs/>
        </w:rPr>
      </w:pPr>
      <w:r>
        <w:rPr>
          <w:rFonts w:ascii="Arial" w:eastAsia="Arial" w:hAnsi="Arial" w:cs="Arial"/>
          <w:b/>
          <w:bCs/>
        </w:rPr>
        <w:t>ANSWER</w:t>
      </w:r>
    </w:p>
    <w:p w:rsidR="00773EB1" w:rsidRDefault="00773EB1">
      <w:pPr>
        <w:spacing w:after="120"/>
        <w:ind w:hanging="2"/>
        <w:jc w:val="both"/>
        <w:rPr>
          <w:rFonts w:ascii="Arial" w:eastAsia="Arial" w:hAnsi="Arial" w:cs="Arial"/>
          <w:b/>
          <w:bCs/>
        </w:rPr>
      </w:pPr>
    </w:p>
    <w:p w:rsidR="00773EB1" w:rsidRDefault="00472ED8">
      <w:pPr>
        <w:spacing w:after="120"/>
        <w:ind w:hanging="2"/>
        <w:jc w:val="both"/>
        <w:rPr>
          <w:rFonts w:ascii="Arial" w:eastAsia="Arial" w:hAnsi="Arial" w:cs="Arial"/>
        </w:rPr>
      </w:pPr>
      <w:r>
        <w:rPr>
          <w:rFonts w:ascii="Arial" w:eastAsia="Arial" w:hAnsi="Arial" w:cs="Arial"/>
        </w:rPr>
        <w:t>Cogeco maintains that deployment requirements must be either relaxed or suspended leading up to and throughout the transition period to prevent the inefficient allocation of capital toward legacy technologies.</w:t>
      </w:r>
    </w:p>
    <w:p w:rsidR="00773EB1" w:rsidRDefault="00472ED8">
      <w:pPr>
        <w:spacing w:after="120"/>
        <w:ind w:hanging="2"/>
        <w:jc w:val="both"/>
        <w:rPr>
          <w:rFonts w:ascii="Arial" w:eastAsia="Arial" w:hAnsi="Arial" w:cs="Arial"/>
        </w:rPr>
      </w:pPr>
      <w:r>
        <w:rPr>
          <w:rFonts w:ascii="Arial" w:eastAsia="Arial" w:hAnsi="Arial" w:cs="Arial"/>
        </w:rPr>
        <w:t>Under the existing regulatory framework, several licensees are subject to substantial deployment obligations scheduled for 2028. However, the proposed shift to an unpaired band plan would render the necessary infrastructure, specifically Band 7 FDD radios, technically obsolete almost immediately upon installation. Regarding Band 7, the technical challenge is obvious, as the inherent interference between TDD and FDD architectures renders concurrent operations and interoperability impossible. Conversely, for Band 38, while no fundamental interoperability conflict exists with Band 41 radios due to their shared TDD architecture, a critical constraint arises during a band "repack" intended to achieve contiguous spectrum blocks. In such a scenario, legacy Band 38 hardware is technically constrained by fixed filtering to a narrow 40 MHz window, necessitating the deployment of new radio units to access frequencies outside this restricted range. Compelling operators to invest in legacy Band 7 or Band 38 systems during this period leading to the transition represents a significant misallocation of resources that does not align with the long-term objective of enhancing Canadian connectivity.</w:t>
      </w:r>
    </w:p>
    <w:p w:rsidR="00773EB1" w:rsidRDefault="00472ED8">
      <w:pPr>
        <w:spacing w:after="120"/>
        <w:ind w:hanging="2"/>
        <w:jc w:val="both"/>
        <w:rPr>
          <w:rFonts w:ascii="Arial" w:eastAsia="Arial" w:hAnsi="Arial" w:cs="Arial"/>
        </w:rPr>
      </w:pPr>
      <w:r>
        <w:rPr>
          <w:rFonts w:ascii="Arial" w:eastAsia="Arial" w:hAnsi="Arial" w:cs="Arial"/>
        </w:rPr>
        <w:t>Consequently, Cogeco encourages the Department to implement a flexible framework that recognizes prior investments while facilitating a pivot toward future-ready technology. This regulatory relief should incorporate two primary components. First, ISED should loosen the 2028 deployment milestones for holders of licences from the 2018 residual auction in anticipation of the transition. Second, the Department should permit the deployment of TDD-capable equipment, such as Band 41 hardware, to satisfy existing deployment requirements, irrespective of whether the formal transition has concluded in a specific market.</w:t>
      </w:r>
    </w:p>
    <w:p w:rsidR="00773EB1" w:rsidRDefault="00472ED8">
      <w:pPr>
        <w:spacing w:after="120"/>
        <w:ind w:hanging="2"/>
        <w:jc w:val="both"/>
        <w:rPr>
          <w:rFonts w:ascii="Arial" w:eastAsia="Arial" w:hAnsi="Arial" w:cs="Arial"/>
          <w:b/>
          <w:bCs/>
        </w:rPr>
      </w:pPr>
      <w:r>
        <w:rPr>
          <w:rFonts w:ascii="Arial" w:eastAsia="Arial" w:hAnsi="Arial" w:cs="Arial"/>
        </w:rPr>
        <w:t>For Cogeco, specific license areas, including Victoria, Niagara, and Kingston, are especially susceptible to these deployment pressures. These regions have historically contended with complex cross-border coordination and interference from U.S. operators, which has hindered build-out initiatives. By providing flexibility during the transition, ISED would empower regional competitors to focus their capital on strategic 5G and next-generation infrastructure rather than short-term compliance with an outdated band plan.</w:t>
      </w:r>
      <w:r>
        <w:br w:type="page"/>
      </w:r>
    </w:p>
    <w:p w:rsidR="00773EB1" w:rsidRDefault="00472ED8">
      <w:pPr>
        <w:spacing w:after="120"/>
        <w:ind w:hanging="2"/>
        <w:jc w:val="both"/>
        <w:rPr>
          <w:rFonts w:ascii="Arial" w:eastAsia="Arial" w:hAnsi="Arial" w:cs="Arial"/>
          <w:b/>
          <w:bCs/>
        </w:rPr>
      </w:pPr>
      <w:r>
        <w:rPr>
          <w:rFonts w:ascii="Arial" w:eastAsia="Arial" w:hAnsi="Arial" w:cs="Arial"/>
          <w:b/>
          <w:bCs/>
        </w:rPr>
        <w:lastRenderedPageBreak/>
        <w:t>Q4</w:t>
      </w:r>
    </w:p>
    <w:p w:rsidR="00773EB1" w:rsidRDefault="00472ED8">
      <w:pPr>
        <w:spacing w:after="120"/>
        <w:ind w:hanging="2"/>
        <w:jc w:val="both"/>
        <w:rPr>
          <w:rFonts w:ascii="Arial" w:eastAsia="Arial" w:hAnsi="Arial" w:cs="Arial"/>
          <w:b/>
          <w:bCs/>
        </w:rPr>
      </w:pPr>
      <w:r>
        <w:rPr>
          <w:rFonts w:ascii="Arial" w:eastAsia="Arial" w:hAnsi="Arial" w:cs="Arial"/>
          <w:b/>
          <w:bCs/>
        </w:rPr>
        <w:t>ISED is seeking preliminary comments on a transition plan to the proposed band plan, including:</w:t>
      </w:r>
    </w:p>
    <w:p w:rsidR="00773EB1" w:rsidRDefault="00472ED8">
      <w:pPr>
        <w:numPr>
          <w:ilvl w:val="0"/>
          <w:numId w:val="1"/>
        </w:numPr>
        <w:spacing w:after="120"/>
        <w:jc w:val="both"/>
        <w:rPr>
          <w:rFonts w:ascii="Arial" w:eastAsia="Arial" w:hAnsi="Arial" w:cs="Arial"/>
          <w:b/>
          <w:bCs/>
        </w:rPr>
      </w:pPr>
      <w:r>
        <w:rPr>
          <w:rFonts w:ascii="Arial" w:eastAsia="Arial" w:hAnsi="Arial" w:cs="Arial"/>
          <w:b/>
          <w:bCs/>
        </w:rPr>
        <w:t>should the transition strategy be implemented on a market-by-market basis across Canada? If so, which regions should be prioritized and how should the timelines be staggered?</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b/>
          <w:bCs/>
        </w:rPr>
      </w:pPr>
      <w:r>
        <w:rPr>
          <w:rFonts w:ascii="Arial" w:eastAsia="Arial" w:hAnsi="Arial" w:cs="Arial"/>
          <w:b/>
          <w:bCs/>
        </w:rPr>
        <w:t>ANSWER Q4a.</w:t>
      </w:r>
    </w:p>
    <w:p w:rsidR="00773EB1" w:rsidRDefault="00472ED8">
      <w:pPr>
        <w:spacing w:after="120"/>
        <w:ind w:hanging="2"/>
        <w:jc w:val="both"/>
        <w:rPr>
          <w:rFonts w:ascii="Arial" w:eastAsia="Arial" w:hAnsi="Arial" w:cs="Arial"/>
        </w:rPr>
      </w:pPr>
      <w:r>
        <w:rPr>
          <w:rFonts w:ascii="Arial" w:eastAsia="Arial" w:hAnsi="Arial" w:cs="Arial"/>
        </w:rPr>
        <w:t>Similar to industry consensus, Cogeco proposes that the transition be executed on a market-by-market basis according to the 2028 proposed transition date. Such a staggered implementation over three years is essential to provide operators with the necessary timeframe for strategic planning, budgeting, and the logistical coordination required for thousands of sites across Canada.</w:t>
      </w:r>
    </w:p>
    <w:p w:rsidR="00773EB1" w:rsidRDefault="00773EB1">
      <w:pPr>
        <w:spacing w:after="120"/>
        <w:ind w:hanging="2"/>
        <w:jc w:val="both"/>
        <w:rPr>
          <w:rFonts w:ascii="Arial" w:eastAsia="Arial" w:hAnsi="Arial" w:cs="Arial"/>
        </w:rPr>
      </w:pPr>
    </w:p>
    <w:tbl>
      <w:tblPr>
        <w:tblStyle w:val="af3"/>
        <w:tblW w:w="8355" w:type="dxa"/>
        <w:tblLayout w:type="fixed"/>
        <w:tblLook w:val="0600" w:firstRow="0" w:lastRow="0" w:firstColumn="0" w:lastColumn="0" w:noHBand="1" w:noVBand="1"/>
      </w:tblPr>
      <w:tblGrid>
        <w:gridCol w:w="1200"/>
        <w:gridCol w:w="4740"/>
        <w:gridCol w:w="2415"/>
      </w:tblGrid>
      <w:tr w:rsidR="00773EB1">
        <w:trPr>
          <w:trHeight w:val="464"/>
        </w:trPr>
        <w:tc>
          <w:tcPr>
            <w:tcW w:w="1200"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773EB1" w:rsidRDefault="00472ED8">
            <w:pPr>
              <w:ind w:firstLine="0"/>
              <w:jc w:val="center"/>
            </w:pPr>
            <w:r>
              <w:rPr>
                <w:rFonts w:ascii="Arial" w:eastAsia="Arial" w:hAnsi="Arial" w:cs="Arial"/>
                <w:b/>
                <w:bCs/>
              </w:rPr>
              <w:t>Phase</w:t>
            </w:r>
          </w:p>
        </w:tc>
        <w:tc>
          <w:tcPr>
            <w:tcW w:w="4740"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773EB1" w:rsidRDefault="00472ED8">
            <w:pPr>
              <w:ind w:firstLine="0"/>
              <w:jc w:val="center"/>
            </w:pPr>
            <w:r>
              <w:rPr>
                <w:rFonts w:ascii="Arial" w:eastAsia="Arial" w:hAnsi="Arial" w:cs="Arial"/>
                <w:b/>
                <w:bCs/>
              </w:rPr>
              <w:t>Province or Territory</w:t>
            </w:r>
          </w:p>
        </w:tc>
        <w:tc>
          <w:tcPr>
            <w:tcW w:w="2415"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773EB1" w:rsidRDefault="00472ED8">
            <w:pPr>
              <w:ind w:firstLine="0"/>
              <w:jc w:val="center"/>
            </w:pPr>
            <w:r>
              <w:rPr>
                <w:rFonts w:ascii="Arial" w:eastAsia="Arial" w:hAnsi="Arial" w:cs="Arial"/>
                <w:b/>
                <w:bCs/>
              </w:rPr>
              <w:t>Transition Date</w:t>
            </w:r>
          </w:p>
        </w:tc>
      </w:tr>
      <w:tr w:rsidR="00773EB1">
        <w:trPr>
          <w:trHeight w:val="144"/>
        </w:trPr>
        <w:tc>
          <w:tcPr>
            <w:tcW w:w="120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1</w:t>
            </w:r>
          </w:p>
        </w:tc>
        <w:tc>
          <w:tcPr>
            <w:tcW w:w="474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 xml:space="preserve">ON-QC (excl. </w:t>
            </w:r>
            <w:proofErr w:type="spellStart"/>
            <w:r>
              <w:rPr>
                <w:rFonts w:ascii="Arial" w:eastAsia="Arial" w:hAnsi="Arial" w:cs="Arial"/>
              </w:rPr>
              <w:t>Gaspé</w:t>
            </w:r>
            <w:proofErr w:type="spellEnd"/>
            <w:r>
              <w:rPr>
                <w:rFonts w:ascii="Arial" w:eastAsia="Arial" w:hAnsi="Arial" w:cs="Arial"/>
              </w:rPr>
              <w:t>)</w:t>
            </w:r>
          </w:p>
        </w:tc>
        <w:tc>
          <w:tcPr>
            <w:tcW w:w="2415"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2028</w:t>
            </w:r>
          </w:p>
        </w:tc>
      </w:tr>
      <w:tr w:rsidR="00773EB1">
        <w:trPr>
          <w:trHeight w:val="144"/>
        </w:trPr>
        <w:tc>
          <w:tcPr>
            <w:tcW w:w="120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2</w:t>
            </w:r>
          </w:p>
        </w:tc>
        <w:tc>
          <w:tcPr>
            <w:tcW w:w="474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 xml:space="preserve">ATL-BC-AB-SK-MB (incl. </w:t>
            </w:r>
            <w:proofErr w:type="spellStart"/>
            <w:r>
              <w:rPr>
                <w:rFonts w:ascii="Arial" w:eastAsia="Arial" w:hAnsi="Arial" w:cs="Arial"/>
              </w:rPr>
              <w:t>Gaspé</w:t>
            </w:r>
            <w:proofErr w:type="spellEnd"/>
            <w:r>
              <w:rPr>
                <w:rFonts w:ascii="Arial" w:eastAsia="Arial" w:hAnsi="Arial" w:cs="Arial"/>
              </w:rPr>
              <w:t>)</w:t>
            </w:r>
          </w:p>
        </w:tc>
        <w:tc>
          <w:tcPr>
            <w:tcW w:w="2415"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2030</w:t>
            </w:r>
          </w:p>
        </w:tc>
      </w:tr>
      <w:tr w:rsidR="00773EB1">
        <w:trPr>
          <w:trHeight w:val="144"/>
        </w:trPr>
        <w:tc>
          <w:tcPr>
            <w:tcW w:w="120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3</w:t>
            </w:r>
          </w:p>
        </w:tc>
        <w:tc>
          <w:tcPr>
            <w:tcW w:w="4740"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YT-NT-NU</w:t>
            </w:r>
          </w:p>
        </w:tc>
        <w:tc>
          <w:tcPr>
            <w:tcW w:w="2415" w:type="dxa"/>
            <w:tcBorders>
              <w:top w:val="single" w:sz="4" w:space="0" w:color="000000"/>
              <w:left w:val="single" w:sz="4" w:space="0" w:color="000000"/>
              <w:bottom w:val="single" w:sz="4" w:space="0" w:color="000000"/>
              <w:right w:val="single" w:sz="4" w:space="0" w:color="000000"/>
            </w:tcBorders>
            <w:vAlign w:val="center"/>
          </w:tcPr>
          <w:p w:rsidR="00773EB1" w:rsidRDefault="00472ED8">
            <w:pPr>
              <w:ind w:firstLine="0"/>
              <w:jc w:val="center"/>
              <w:rPr>
                <w:rFonts w:ascii="Arial" w:eastAsia="Arial" w:hAnsi="Arial" w:cs="Arial"/>
              </w:rPr>
            </w:pPr>
            <w:r>
              <w:rPr>
                <w:rFonts w:ascii="Arial" w:eastAsia="Arial" w:hAnsi="Arial" w:cs="Arial"/>
              </w:rPr>
              <w:t>2031</w:t>
            </w:r>
          </w:p>
        </w:tc>
      </w:tr>
    </w:tbl>
    <w:p w:rsidR="00773EB1" w:rsidRDefault="00773EB1">
      <w:pPr>
        <w:spacing w:after="120"/>
        <w:ind w:hanging="2"/>
        <w:jc w:val="both"/>
        <w:rPr>
          <w:rFonts w:ascii="Arial" w:eastAsia="Arial" w:hAnsi="Arial" w:cs="Arial"/>
        </w:rPr>
      </w:pPr>
    </w:p>
    <w:p w:rsidR="00773EB1" w:rsidRDefault="00472ED8">
      <w:pPr>
        <w:tabs>
          <w:tab w:val="left" w:pos="540"/>
        </w:tabs>
        <w:spacing w:after="240" w:line="276" w:lineRule="auto"/>
        <w:ind w:firstLine="0"/>
        <w:rPr>
          <w:rFonts w:ascii="Arial" w:eastAsia="Arial" w:hAnsi="Arial" w:cs="Arial"/>
          <w:b/>
          <w:bCs/>
          <w:highlight w:val="yellow"/>
        </w:rPr>
      </w:pPr>
      <w:r>
        <w:rPr>
          <w:rFonts w:ascii="Arial" w:eastAsia="Arial" w:hAnsi="Arial" w:cs="Arial"/>
        </w:rPr>
        <w:t xml:space="preserve">Furthermore, this strategy effectively addresses the areas most susceptible to cross-border interference while prioritizing critical 5G capacity upgrades in the major metropolitan markets of Ontario and Quebec. </w:t>
      </w:r>
    </w:p>
    <w:p w:rsidR="00773EB1" w:rsidRDefault="00773EB1">
      <w:pPr>
        <w:spacing w:after="120"/>
        <w:ind w:firstLine="0"/>
        <w:jc w:val="both"/>
        <w:rPr>
          <w:rFonts w:ascii="Arial" w:eastAsia="Arial" w:hAnsi="Arial" w:cs="Arial"/>
          <w:b/>
          <w:bCs/>
        </w:rPr>
      </w:pPr>
    </w:p>
    <w:p w:rsidR="00773EB1" w:rsidRDefault="00472ED8">
      <w:pPr>
        <w:numPr>
          <w:ilvl w:val="0"/>
          <w:numId w:val="1"/>
        </w:numPr>
        <w:pBdr>
          <w:top w:val="nil"/>
          <w:left w:val="nil"/>
          <w:bottom w:val="nil"/>
          <w:right w:val="nil"/>
          <w:between w:val="nil"/>
        </w:pBdr>
        <w:spacing w:after="120"/>
        <w:jc w:val="both"/>
        <w:rPr>
          <w:rFonts w:ascii="Arial" w:eastAsia="Arial" w:hAnsi="Arial" w:cs="Arial"/>
          <w:b/>
          <w:bCs/>
        </w:rPr>
      </w:pPr>
      <w:r>
        <w:rPr>
          <w:rFonts w:ascii="Arial" w:eastAsia="Arial" w:hAnsi="Arial" w:cs="Arial"/>
          <w:b/>
          <w:bCs/>
        </w:rPr>
        <w:t>should certain portions of the band, such as the Canadian FDD uplink spectrum, be prioritized first during the transition?</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rPr>
      </w:pPr>
      <w:r>
        <w:rPr>
          <w:rFonts w:ascii="Arial" w:eastAsia="Arial" w:hAnsi="Arial" w:cs="Arial"/>
          <w:b/>
          <w:bCs/>
        </w:rPr>
        <w:t>ANSWER Q4b.</w:t>
      </w:r>
    </w:p>
    <w:p w:rsidR="00773EB1" w:rsidRDefault="00472ED8">
      <w:pPr>
        <w:tabs>
          <w:tab w:val="left" w:pos="540"/>
        </w:tabs>
        <w:spacing w:after="120"/>
        <w:ind w:hanging="2"/>
        <w:jc w:val="both"/>
        <w:rPr>
          <w:rFonts w:ascii="Arial" w:eastAsia="Arial" w:hAnsi="Arial" w:cs="Arial"/>
          <w:color w:val="000000"/>
        </w:rPr>
      </w:pPr>
      <w:r>
        <w:rPr>
          <w:rFonts w:ascii="Arial" w:eastAsia="Arial" w:hAnsi="Arial" w:cs="Arial"/>
        </w:rPr>
        <w:t>No, the Canadian FDD uplink spectrum should not be prioritized first during the transition. Instead, in accordance with industry consensus, Cogeco recommends that the transition be finalized as a single, unified date to ensure the simultaneous conversion of all FDD spectrum within a given market to TDD-use.</w:t>
      </w:r>
    </w:p>
    <w:p w:rsidR="00773EB1" w:rsidRDefault="00472ED8">
      <w:pPr>
        <w:tabs>
          <w:tab w:val="left" w:pos="540"/>
        </w:tabs>
        <w:spacing w:after="240" w:line="276" w:lineRule="auto"/>
        <w:ind w:hanging="2"/>
        <w:jc w:val="both"/>
        <w:rPr>
          <w:rFonts w:ascii="Arial" w:eastAsia="Arial" w:hAnsi="Arial" w:cs="Arial"/>
        </w:rPr>
      </w:pPr>
      <w:r>
        <w:rPr>
          <w:rFonts w:ascii="Arial" w:eastAsia="Arial" w:hAnsi="Arial" w:cs="Arial"/>
        </w:rPr>
        <w:lastRenderedPageBreak/>
        <w:t xml:space="preserve">It is Cogeco’s understanding that certain existing Band 7 licensees have expressed a preference for the retention of the uplink portion of the band as FDD, primarily due to substantive concerns regarding uplink capacity. Several operators have indicated that the relinquishment of uplink spectrum would likely result in adverse impacts on network performance in certain regions. </w:t>
      </w:r>
    </w:p>
    <w:p w:rsidR="00773EB1" w:rsidRDefault="00472ED8">
      <w:pPr>
        <w:tabs>
          <w:tab w:val="left" w:pos="540"/>
        </w:tabs>
        <w:spacing w:after="240" w:line="276" w:lineRule="auto"/>
        <w:ind w:hanging="2"/>
        <w:jc w:val="both"/>
        <w:rPr>
          <w:rFonts w:ascii="Arial" w:eastAsia="Arial" w:hAnsi="Arial" w:cs="Arial"/>
        </w:rPr>
      </w:pPr>
      <w:r>
        <w:rPr>
          <w:rFonts w:ascii="Arial" w:eastAsia="Arial" w:hAnsi="Arial" w:cs="Arial"/>
        </w:rPr>
        <w:t>Licensees may be required to coordinate with one another at phase borders to mitigate the potential for interference between FDD and TDD deployments during the three-year period of technological overlap. While these zones were specifically delineated to minimize such conflicts, geographic border placement alone cannot entirely resolve the technical challenges associated with concurrent operations.</w:t>
      </w:r>
    </w:p>
    <w:p w:rsidR="00773EB1" w:rsidRDefault="00472ED8">
      <w:pPr>
        <w:numPr>
          <w:ilvl w:val="0"/>
          <w:numId w:val="1"/>
        </w:numPr>
        <w:pBdr>
          <w:top w:val="nil"/>
          <w:left w:val="nil"/>
          <w:bottom w:val="nil"/>
          <w:right w:val="nil"/>
          <w:between w:val="nil"/>
        </w:pBdr>
        <w:spacing w:after="120"/>
        <w:jc w:val="both"/>
        <w:rPr>
          <w:rFonts w:ascii="Arial" w:eastAsia="Arial" w:hAnsi="Arial" w:cs="Arial"/>
          <w:b/>
          <w:bCs/>
        </w:rPr>
      </w:pPr>
      <w:r>
        <w:rPr>
          <w:rFonts w:ascii="Arial" w:eastAsia="Arial" w:hAnsi="Arial" w:cs="Arial"/>
          <w:b/>
          <w:bCs/>
        </w:rPr>
        <w:t>do licensees prefer holding contiguous blocks of spectrum in an unpaired TDD-use band plan? If so, what process is envisioned to enable the exchange of frequency assignments?</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rPr>
      </w:pPr>
      <w:r>
        <w:rPr>
          <w:rFonts w:ascii="Arial" w:eastAsia="Arial" w:hAnsi="Arial" w:cs="Arial"/>
          <w:b/>
          <w:bCs/>
        </w:rPr>
        <w:t>ANSWER Q4c.</w:t>
      </w:r>
    </w:p>
    <w:p w:rsidR="00773EB1" w:rsidRDefault="00472ED8">
      <w:pPr>
        <w:tabs>
          <w:tab w:val="left" w:pos="540"/>
        </w:tabs>
        <w:spacing w:after="240" w:line="276" w:lineRule="auto"/>
        <w:ind w:firstLine="0"/>
        <w:jc w:val="both"/>
        <w:rPr>
          <w:rFonts w:ascii="Arial" w:eastAsia="Arial" w:hAnsi="Arial" w:cs="Arial"/>
        </w:rPr>
      </w:pPr>
      <w:r>
        <w:rPr>
          <w:rFonts w:ascii="Arial" w:eastAsia="Arial" w:hAnsi="Arial" w:cs="Arial"/>
        </w:rPr>
        <w:t>Yes, license holders prefer obtaining contiguous spectrum blocks and accordingly this should be a priority of the transition. 5G networks are designed to work with large channels and are limited in aggregation by breaking apart spectrum into smaller channels.  Analysis done by the industry working group found that most tier 3 areas can be rearranged to allow all operators to have contiguous spectrum based on today’s holdings.  Areas where an operator only owns Band 38 spectrum and prefers to stay within the current TDD band to avoid near term hardware upgrades are the only tiers where spectrum realignment to contiguous blocks can be an issue. Cogeco is one such carrier.</w:t>
      </w:r>
    </w:p>
    <w:p w:rsidR="00773EB1" w:rsidRDefault="00472ED8">
      <w:pPr>
        <w:tabs>
          <w:tab w:val="left" w:pos="540"/>
        </w:tabs>
        <w:spacing w:after="240" w:line="276" w:lineRule="auto"/>
        <w:ind w:firstLine="0"/>
        <w:jc w:val="both"/>
        <w:rPr>
          <w:rFonts w:ascii="Arial" w:eastAsia="Arial" w:hAnsi="Arial" w:cs="Arial"/>
        </w:rPr>
      </w:pPr>
      <w:r>
        <w:rPr>
          <w:rFonts w:ascii="Arial" w:eastAsia="Arial" w:hAnsi="Arial" w:cs="Arial"/>
        </w:rPr>
        <w:t xml:space="preserve">Initial analysis showed that approximately 16 tier-3 license areas will need to be fragmented to accommodate Band 38 license holders. In some scenarios, it may be possible to negotiate with license holders to fairly compensate them to upgrade their hardware at the transition date so other operators can avoid fragmentation. Further, it is recommended that Band 38 operators have a 5-year window after the transition date where they can continue to operate their Band 38 hardware.  After the 5-year window the blocks in the tier 3 area should be rearranged to eliminate the fragmentation and allow all operators contiguous spectrum within the new Band 41. At this time the Band 38 operators would need to replace their hardware to continue using their new spectrum assignment outside of Band 38. </w:t>
      </w:r>
    </w:p>
    <w:p w:rsidR="00773EB1" w:rsidRDefault="00472ED8">
      <w:pPr>
        <w:tabs>
          <w:tab w:val="left" w:pos="540"/>
        </w:tabs>
        <w:spacing w:after="240" w:line="276" w:lineRule="auto"/>
        <w:ind w:firstLine="0"/>
        <w:rPr>
          <w:rFonts w:ascii="Arial" w:eastAsia="Arial" w:hAnsi="Arial" w:cs="Arial"/>
        </w:rPr>
      </w:pPr>
      <w:r>
        <w:rPr>
          <w:rFonts w:ascii="Arial" w:eastAsia="Arial" w:hAnsi="Arial" w:cs="Arial"/>
        </w:rPr>
        <w:lastRenderedPageBreak/>
        <w:t>Based on the ongoing discussions between operators, Cogeco believes it is likely that these realignment plans can be agreed upon by operators themselves. In this scenario, applications for spectrum transfers would only need approval from ISED.</w:t>
      </w:r>
    </w:p>
    <w:p w:rsidR="00773EB1" w:rsidRDefault="00773EB1">
      <w:pPr>
        <w:pBdr>
          <w:top w:val="nil"/>
          <w:left w:val="nil"/>
          <w:bottom w:val="nil"/>
          <w:right w:val="nil"/>
          <w:between w:val="nil"/>
        </w:pBdr>
        <w:spacing w:after="120"/>
        <w:ind w:firstLine="0"/>
        <w:jc w:val="both"/>
        <w:rPr>
          <w:rFonts w:ascii="Arial" w:eastAsia="Arial" w:hAnsi="Arial" w:cs="Arial"/>
          <w:b/>
          <w:bCs/>
        </w:rPr>
      </w:pPr>
    </w:p>
    <w:p w:rsidR="00773EB1" w:rsidRDefault="00472ED8">
      <w:pPr>
        <w:numPr>
          <w:ilvl w:val="0"/>
          <w:numId w:val="1"/>
        </w:numPr>
        <w:pBdr>
          <w:top w:val="nil"/>
          <w:left w:val="nil"/>
          <w:bottom w:val="nil"/>
          <w:right w:val="nil"/>
          <w:between w:val="nil"/>
        </w:pBdr>
        <w:spacing w:after="120"/>
        <w:jc w:val="both"/>
        <w:rPr>
          <w:rFonts w:ascii="Arial" w:eastAsia="Arial" w:hAnsi="Arial" w:cs="Arial"/>
          <w:b/>
          <w:bCs/>
        </w:rPr>
      </w:pPr>
      <w:r>
        <w:rPr>
          <w:rFonts w:ascii="Arial" w:eastAsia="Arial" w:hAnsi="Arial" w:cs="Arial"/>
          <w:b/>
          <w:bCs/>
        </w:rPr>
        <w:t>what is the appropriate tier level for the transition and how might the deployment requirements be adjusted to reflect this?</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b/>
          <w:bCs/>
        </w:rPr>
      </w:pPr>
      <w:r>
        <w:rPr>
          <w:rFonts w:ascii="Arial" w:eastAsia="Arial" w:hAnsi="Arial" w:cs="Arial"/>
          <w:b/>
          <w:bCs/>
        </w:rPr>
        <w:t>ANSWER Q4d.</w:t>
      </w:r>
    </w:p>
    <w:p w:rsidR="00773EB1" w:rsidRDefault="00472ED8">
      <w:pPr>
        <w:tabs>
          <w:tab w:val="left" w:pos="540"/>
        </w:tabs>
        <w:spacing w:after="240" w:line="276" w:lineRule="auto"/>
        <w:ind w:firstLine="0"/>
        <w:jc w:val="both"/>
        <w:rPr>
          <w:rFonts w:ascii="Arial" w:eastAsia="Arial" w:hAnsi="Arial" w:cs="Arial"/>
        </w:rPr>
      </w:pPr>
      <w:r>
        <w:rPr>
          <w:rFonts w:ascii="Arial" w:eastAsia="Arial" w:hAnsi="Arial" w:cs="Arial"/>
        </w:rPr>
        <w:t>Instead of tier level transitions, Cogeco and the working group believe that the regions identified in Q4a. are the appropriate geographic level for the transitions. This regional level will mitigate most of the interference issues between geographical areas while spreading the transition over multiple years to lessen the burden of hardware replacements. Further, the regional level transition limits the impact to networks and customer experience that may result from this band transition as fewer population centres are among each region’s borders.</w:t>
      </w:r>
    </w:p>
    <w:p w:rsidR="00773EB1" w:rsidRDefault="00472ED8">
      <w:pPr>
        <w:tabs>
          <w:tab w:val="left" w:pos="540"/>
        </w:tabs>
        <w:spacing w:after="240" w:line="276" w:lineRule="auto"/>
        <w:ind w:firstLine="0"/>
        <w:jc w:val="both"/>
        <w:rPr>
          <w:rFonts w:ascii="Arial" w:eastAsia="Arial" w:hAnsi="Arial" w:cs="Arial"/>
        </w:rPr>
      </w:pPr>
      <w:r>
        <w:rPr>
          <w:rFonts w:ascii="Arial" w:eastAsia="Arial" w:hAnsi="Arial" w:cs="Arial"/>
        </w:rPr>
        <w:t xml:space="preserve">Equally important, deployment requirements should be lifted or paused for all license tiers to prevent operators from deploying any Band 7 or Band 38 hardware before new hardware is available to be deployed in Canada and up until the transition date to allow operators to replace hardware ahead of time to be ready for the transition date. After the transition date deployment requirements can be reinstated in 5 years - a similar way to new spectrum bands being deployed in Canada. </w:t>
      </w:r>
    </w:p>
    <w:p w:rsidR="00773EB1" w:rsidRDefault="00773EB1">
      <w:pPr>
        <w:pBdr>
          <w:top w:val="nil"/>
          <w:left w:val="nil"/>
          <w:bottom w:val="nil"/>
          <w:right w:val="nil"/>
          <w:between w:val="nil"/>
        </w:pBdr>
        <w:spacing w:after="120"/>
        <w:ind w:firstLine="0"/>
        <w:jc w:val="both"/>
        <w:rPr>
          <w:rFonts w:ascii="Arial" w:eastAsia="Arial" w:hAnsi="Arial" w:cs="Arial"/>
          <w:b/>
          <w:bCs/>
        </w:rPr>
      </w:pPr>
    </w:p>
    <w:p w:rsidR="00773EB1" w:rsidRDefault="00472ED8">
      <w:pPr>
        <w:numPr>
          <w:ilvl w:val="0"/>
          <w:numId w:val="1"/>
        </w:numPr>
        <w:pBdr>
          <w:top w:val="nil"/>
          <w:left w:val="nil"/>
          <w:bottom w:val="nil"/>
          <w:right w:val="nil"/>
          <w:between w:val="nil"/>
        </w:pBdr>
        <w:spacing w:after="120"/>
        <w:jc w:val="both"/>
        <w:rPr>
          <w:rFonts w:ascii="Arial" w:eastAsia="Arial" w:hAnsi="Arial" w:cs="Arial"/>
          <w:b/>
          <w:bCs/>
        </w:rPr>
      </w:pPr>
      <w:r>
        <w:rPr>
          <w:rFonts w:ascii="Arial" w:eastAsia="Arial" w:hAnsi="Arial" w:cs="Arial"/>
          <w:b/>
          <w:bCs/>
        </w:rPr>
        <w:t xml:space="preserve">are there any temporary or </w:t>
      </w:r>
      <w:proofErr w:type="gramStart"/>
      <w:r>
        <w:rPr>
          <w:rFonts w:ascii="Arial" w:eastAsia="Arial" w:hAnsi="Arial" w:cs="Arial"/>
          <w:b/>
          <w:bCs/>
        </w:rPr>
        <w:t>longer term</w:t>
      </w:r>
      <w:proofErr w:type="gramEnd"/>
      <w:r>
        <w:rPr>
          <w:rFonts w:ascii="Arial" w:eastAsia="Arial" w:hAnsi="Arial" w:cs="Arial"/>
          <w:b/>
          <w:bCs/>
        </w:rPr>
        <w:t xml:space="preserve"> technical requirements that ISED should consider to minimize the potential for interference conflicts during the transition period?</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b/>
          <w:bCs/>
        </w:rPr>
      </w:pPr>
      <w:r>
        <w:rPr>
          <w:rFonts w:ascii="Arial" w:eastAsia="Arial" w:hAnsi="Arial" w:cs="Arial"/>
          <w:b/>
          <w:bCs/>
        </w:rPr>
        <w:t>ANSWER Q4e.</w:t>
      </w:r>
    </w:p>
    <w:p w:rsidR="00773EB1" w:rsidRDefault="00472ED8">
      <w:pPr>
        <w:tabs>
          <w:tab w:val="left" w:pos="540"/>
        </w:tabs>
        <w:spacing w:after="240" w:line="276" w:lineRule="auto"/>
        <w:ind w:firstLine="0"/>
        <w:jc w:val="both"/>
        <w:rPr>
          <w:rFonts w:ascii="Arial" w:eastAsia="Arial" w:hAnsi="Arial" w:cs="Arial"/>
          <w:b/>
          <w:bCs/>
        </w:rPr>
      </w:pPr>
      <w:r>
        <w:rPr>
          <w:rFonts w:ascii="Arial" w:eastAsia="Arial" w:hAnsi="Arial" w:cs="Arial"/>
        </w:rPr>
        <w:t xml:space="preserve">With the elimination of a transition period, interference is not a concern until after the first area is transitioned.  After the first transition, operators will need to coordinate across the geographic borders of the different phases to accommodate the interference between TDD and FDD networks.  With the geographic borders between </w:t>
      </w:r>
      <w:r>
        <w:rPr>
          <w:rFonts w:ascii="Arial" w:eastAsia="Arial" w:hAnsi="Arial" w:cs="Arial"/>
        </w:rPr>
        <w:lastRenderedPageBreak/>
        <w:t>phases being in lesser populated areas, coordination should be minimal to ensure the proper operation of both TDD and FDD networks.</w:t>
      </w:r>
    </w:p>
    <w:p w:rsidR="00773EB1" w:rsidRDefault="00773EB1">
      <w:pPr>
        <w:pBdr>
          <w:top w:val="nil"/>
          <w:left w:val="nil"/>
          <w:bottom w:val="nil"/>
          <w:right w:val="nil"/>
          <w:between w:val="nil"/>
        </w:pBdr>
        <w:spacing w:after="120"/>
        <w:ind w:firstLine="0"/>
        <w:jc w:val="both"/>
        <w:rPr>
          <w:rFonts w:ascii="Arial" w:eastAsia="Arial" w:hAnsi="Arial" w:cs="Arial"/>
          <w:b/>
          <w:bCs/>
        </w:rPr>
      </w:pPr>
    </w:p>
    <w:p w:rsidR="00773EB1" w:rsidRDefault="00472ED8">
      <w:pPr>
        <w:numPr>
          <w:ilvl w:val="0"/>
          <w:numId w:val="1"/>
        </w:numPr>
        <w:pBdr>
          <w:top w:val="nil"/>
          <w:left w:val="nil"/>
          <w:bottom w:val="nil"/>
          <w:right w:val="nil"/>
          <w:between w:val="nil"/>
        </w:pBdr>
        <w:spacing w:after="120"/>
        <w:jc w:val="both"/>
        <w:rPr>
          <w:rFonts w:ascii="Arial" w:eastAsia="Arial" w:hAnsi="Arial" w:cs="Arial"/>
          <w:b/>
          <w:bCs/>
        </w:rPr>
      </w:pPr>
      <w:r>
        <w:rPr>
          <w:rFonts w:ascii="Arial" w:eastAsia="Arial" w:hAnsi="Arial" w:cs="Arial"/>
          <w:b/>
          <w:bCs/>
        </w:rPr>
        <w:t>are there any other key elements that ISED should consider for a transition plan?</w:t>
      </w:r>
    </w:p>
    <w:p w:rsidR="00773EB1" w:rsidRDefault="00773EB1">
      <w:pPr>
        <w:tabs>
          <w:tab w:val="left" w:pos="540"/>
        </w:tabs>
        <w:spacing w:after="240" w:line="276" w:lineRule="auto"/>
        <w:ind w:hanging="2"/>
        <w:rPr>
          <w:rFonts w:ascii="Arial" w:eastAsia="Arial" w:hAnsi="Arial" w:cs="Arial"/>
          <w:b/>
          <w:bCs/>
        </w:rPr>
      </w:pPr>
    </w:p>
    <w:p w:rsidR="00773EB1" w:rsidRDefault="00472ED8">
      <w:pPr>
        <w:tabs>
          <w:tab w:val="left" w:pos="540"/>
        </w:tabs>
        <w:spacing w:after="240" w:line="276" w:lineRule="auto"/>
        <w:ind w:hanging="2"/>
        <w:rPr>
          <w:rFonts w:ascii="Arial" w:eastAsia="Arial" w:hAnsi="Arial" w:cs="Arial"/>
          <w:b/>
          <w:bCs/>
        </w:rPr>
      </w:pPr>
      <w:r>
        <w:rPr>
          <w:rFonts w:ascii="Arial" w:eastAsia="Arial" w:hAnsi="Arial" w:cs="Arial"/>
          <w:b/>
          <w:bCs/>
        </w:rPr>
        <w:t>ANSWER Q4f.</w:t>
      </w:r>
    </w:p>
    <w:p w:rsidR="00773EB1" w:rsidRDefault="00472ED8">
      <w:pPr>
        <w:tabs>
          <w:tab w:val="left" w:pos="540"/>
        </w:tabs>
        <w:spacing w:after="240" w:line="276" w:lineRule="auto"/>
        <w:ind w:firstLine="0"/>
        <w:jc w:val="both"/>
        <w:rPr>
          <w:rFonts w:ascii="Arial" w:eastAsia="Arial" w:hAnsi="Arial" w:cs="Arial"/>
        </w:rPr>
      </w:pPr>
      <w:r>
        <w:rPr>
          <w:rFonts w:ascii="Arial" w:eastAsia="Arial" w:hAnsi="Arial" w:cs="Arial"/>
        </w:rPr>
        <w:t xml:space="preserve">ISED should consider that the burden of transitioning may be disproportionate for some carriers, like Cogeco, when making such a transition and that their issues should be given priority. </w:t>
      </w:r>
    </w:p>
    <w:p w:rsidR="00773EB1" w:rsidRDefault="00472ED8">
      <w:pPr>
        <w:spacing w:after="240" w:line="276" w:lineRule="auto"/>
        <w:jc w:val="both"/>
        <w:rPr>
          <w:rFonts w:ascii="Arial" w:eastAsia="Arial" w:hAnsi="Arial" w:cs="Arial"/>
        </w:rPr>
      </w:pPr>
      <w:r>
        <w:rPr>
          <w:rFonts w:ascii="Arial" w:eastAsia="Arial" w:hAnsi="Arial" w:cs="Arial"/>
        </w:rPr>
        <w:t>As a new entrant and MVNO operator, Cogeco faces unique operational and financial hurdles that differ significantly from those of established national wireless carriers. First, Cogeco does not have many other frequency bands we can rely on for capacity. Where other operators have access to a range of low band spectrum in the 600, 700, 800, PCS and AWS bands, Cogeco does not. This limited spectrum portfolio forces Cogeco to rely heavily on its 2500 MHz, 3500 MHz, and 3800 MHz holdings to deliver services, making the efficient utilization of these specific bands critical to our viability as a competitor. Furthermore, Cogeco’s lack of low-band spectrum restricts its ability to provide cost-effective wide-area coverage, which places a disproportionate burden on our mid-band assets to handle both capacity and coverage requirements.</w:t>
      </w:r>
    </w:p>
    <w:p w:rsidR="00773EB1" w:rsidRDefault="00472ED8">
      <w:pPr>
        <w:spacing w:after="240" w:line="276" w:lineRule="auto"/>
        <w:jc w:val="both"/>
        <w:rPr>
          <w:rFonts w:ascii="Arial" w:eastAsia="Arial" w:hAnsi="Arial" w:cs="Arial"/>
        </w:rPr>
      </w:pPr>
      <w:r>
        <w:rPr>
          <w:rFonts w:ascii="Arial" w:eastAsia="Arial" w:hAnsi="Arial" w:cs="Arial"/>
        </w:rPr>
        <w:t>Unlike wireless incumbents, who possess extensive legacy infrastructure, deep capital reserves and millions of active subscribers, Cogeco is navigating a critical time constraint imposed by the CRTC's 7-year facilities-based MVNO mandate. This regime includes a sunset clause that necessitates an accelerated and compressed network build-out timeline to transition customers onto Cogeco’s own infrastructure before the mandate expires.</w:t>
      </w:r>
    </w:p>
    <w:p w:rsidR="00773EB1" w:rsidRDefault="00472ED8">
      <w:pPr>
        <w:spacing w:after="240" w:line="276" w:lineRule="auto"/>
        <w:jc w:val="both"/>
        <w:rPr>
          <w:rFonts w:ascii="Arial" w:eastAsia="Arial" w:hAnsi="Arial" w:cs="Arial"/>
        </w:rPr>
      </w:pPr>
      <w:r>
        <w:rPr>
          <w:rFonts w:ascii="Arial" w:eastAsia="Arial" w:hAnsi="Arial" w:cs="Arial"/>
        </w:rPr>
        <w:t xml:space="preserve">Furthermore, Cogeco is subject to specific deployment obligations for BRS licences acquired in the 2018 residual auction. These obligations are set to take effect in 2028, coinciding with the proposed commencement of the transition to an unpaired TDD band plan. This overlap introduces significant regulatory and operational uncertainty. Compelling a new entrant to allocate substantial capital toward the deployment of legacy Band 7 and Band 38 equipment just as the industry shifts toward Band 41 would lead to immediate technical obsolescence and a truncated equipment lifecycle. </w:t>
      </w:r>
      <w:r>
        <w:rPr>
          <w:rFonts w:ascii="Arial" w:eastAsia="Arial" w:hAnsi="Arial" w:cs="Arial"/>
        </w:rPr>
        <w:lastRenderedPageBreak/>
        <w:t>Such a scenario creates a substantial barrier to the efficient deployment of future-ready technology and fails to advance the long-term connectivity interests of Canadians.</w:t>
      </w:r>
    </w:p>
    <w:p w:rsidR="00773EB1" w:rsidRDefault="00472ED8">
      <w:pPr>
        <w:spacing w:after="240" w:line="276" w:lineRule="auto"/>
        <w:jc w:val="both"/>
        <w:rPr>
          <w:rFonts w:ascii="Arial" w:eastAsia="Arial" w:hAnsi="Arial" w:cs="Arial"/>
        </w:rPr>
      </w:pPr>
      <w:r>
        <w:rPr>
          <w:rFonts w:ascii="Arial" w:eastAsia="Arial" w:hAnsi="Arial" w:cs="Arial"/>
        </w:rPr>
        <w:t>To mitigate these pressures, Cogeco requests that ISED prioritize the concerns of regional competitors by providing targeted regulatory relief. This should include suspending or implementing a freeze on existing Band 7 and Band 38 deployment requirements until the transition is finalized. Such measures would ensure that scarce capital is not wasted on compliance-driven legacy deployments and can instead be focused on strategic, long-term 5G infrastructure builds that align with the new band plan.</w:t>
      </w:r>
    </w:p>
    <w:p w:rsidR="00773EB1" w:rsidRDefault="00773EB1">
      <w:pPr>
        <w:pBdr>
          <w:top w:val="nil"/>
          <w:left w:val="nil"/>
          <w:bottom w:val="nil"/>
          <w:right w:val="nil"/>
          <w:between w:val="nil"/>
        </w:pBdr>
        <w:tabs>
          <w:tab w:val="left" w:pos="540"/>
        </w:tabs>
        <w:spacing w:after="240" w:line="276" w:lineRule="auto"/>
        <w:ind w:hanging="2"/>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472ED8"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highlight w:val="yellow"/>
        </w:rPr>
      </w:pPr>
    </w:p>
    <w:p w:rsidR="00773EB1" w:rsidRDefault="00472ED8">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highlight w:val="yellow"/>
        </w:rPr>
        <w:t>*** End of document ***</w:t>
      </w:r>
    </w:p>
    <w:sectPr w:rsidR="00773EB1">
      <w:headerReference w:type="default" r:id="rId15"/>
      <w:headerReference w:type="first" r:id="rId16"/>
      <w:pgSz w:w="12240" w:h="15840"/>
      <w:pgMar w:top="1418" w:right="1418" w:bottom="1095" w:left="189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639E" w:rsidRDefault="00472ED8">
      <w:r>
        <w:separator/>
      </w:r>
    </w:p>
  </w:endnote>
  <w:endnote w:type="continuationSeparator" w:id="0">
    <w:p w:rsidR="003D639E" w:rsidRDefault="00472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46D6215-D17D-4DD9-9CD2-4D8D6EA6F643}"/>
    <w:embedBold r:id="rId2" w:fontKey="{7CFBE79D-CEB2-434D-82AC-A79C4E1DD564}"/>
  </w:font>
  <w:font w:name="Tahoma">
    <w:panose1 w:val="020B0604030504040204"/>
    <w:charset w:val="00"/>
    <w:family w:val="swiss"/>
    <w:pitch w:val="variable"/>
    <w:sig w:usb0="E1002EFF" w:usb1="C000605B" w:usb2="00000029" w:usb3="00000000" w:csb0="000101FF" w:csb1="00000000"/>
    <w:embedRegular r:id="rId3" w:fontKey="{065EB452-8144-4839-82DF-E23BDAEEF975}"/>
  </w:font>
  <w:font w:name="Georgia">
    <w:panose1 w:val="02040502050405020303"/>
    <w:charset w:val="00"/>
    <w:family w:val="roman"/>
    <w:pitch w:val="variable"/>
    <w:sig w:usb0="00000287" w:usb1="00000000" w:usb2="00000000" w:usb3="00000000" w:csb0="0000009F" w:csb1="00000000"/>
    <w:embedItalic r:id="rId4" w:fontKey="{DF70C665-8064-4DC2-80BB-E510CDFA508D}"/>
  </w:font>
  <w:font w:name="Cambria">
    <w:panose1 w:val="02040503050406030204"/>
    <w:charset w:val="00"/>
    <w:family w:val="roman"/>
    <w:pitch w:val="variable"/>
    <w:sig w:usb0="E00006FF" w:usb1="420024FF" w:usb2="02000000" w:usb3="00000000" w:csb0="0000019F" w:csb1="00000000"/>
    <w:embedRegular r:id="rId5" w:fontKey="{7C6346DD-78B4-402C-9979-4757F0170C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pBdr>
        <w:top w:val="nil"/>
        <w:left w:val="nil"/>
        <w:bottom w:val="nil"/>
        <w:right w:val="nil"/>
        <w:between w:val="nil"/>
      </w:pBdr>
      <w:tabs>
        <w:tab w:val="center" w:pos="4320"/>
        <w:tab w:val="right" w:pos="8640"/>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pBdr>
        <w:top w:val="nil"/>
        <w:left w:val="nil"/>
        <w:bottom w:val="nil"/>
        <w:right w:val="nil"/>
        <w:between w:val="nil"/>
      </w:pBdr>
      <w:tabs>
        <w:tab w:val="center" w:pos="4320"/>
        <w:tab w:val="right" w:pos="8640"/>
      </w:tabs>
      <w:ind w:hanging="2"/>
      <w:rPr>
        <w:rFonts w:ascii="Arial" w:eastAsia="Arial" w:hAnsi="Arial" w:cs="Arial"/>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pBdr>
        <w:top w:val="nil"/>
        <w:left w:val="nil"/>
        <w:bottom w:val="nil"/>
        <w:right w:val="nil"/>
        <w:between w:val="nil"/>
      </w:pBdr>
      <w:tabs>
        <w:tab w:val="center" w:pos="4320"/>
        <w:tab w:val="right" w:pos="8640"/>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639E" w:rsidRDefault="00472ED8">
      <w:r>
        <w:separator/>
      </w:r>
    </w:p>
  </w:footnote>
  <w:footnote w:type="continuationSeparator" w:id="0">
    <w:p w:rsidR="003D639E" w:rsidRDefault="00472ED8">
      <w:r>
        <w:continuationSeparator/>
      </w:r>
    </w:p>
  </w:footnote>
  <w:footnote w:id="1">
    <w:p w:rsidR="00773EB1" w:rsidRDefault="00472ED8">
      <w:pPr>
        <w:rPr>
          <w:sz w:val="20"/>
          <w:szCs w:val="20"/>
        </w:rPr>
      </w:pPr>
      <w:r>
        <w:rPr>
          <w:rStyle w:val="FootnoteReference"/>
        </w:rPr>
        <w:footnoteRef/>
      </w:r>
      <w:r>
        <w:rPr>
          <w:sz w:val="20"/>
          <w:szCs w:val="20"/>
        </w:rPr>
        <w:t xml:space="preserve"> Standard Radio System Plan SRSP-517, issue 2, Technical Requirements for Broadband Radio Service in the Band 2500-2690 MHz; </w:t>
      </w:r>
      <w:r>
        <w:rPr>
          <w:i/>
          <w:iCs/>
          <w:sz w:val="20"/>
          <w:szCs w:val="20"/>
        </w:rPr>
        <w:t xml:space="preserve">and </w:t>
      </w:r>
      <w:r>
        <w:rPr>
          <w:sz w:val="20"/>
          <w:szCs w:val="20"/>
        </w:rPr>
        <w:t>Radio Standards Specification RSS-199, Broadband Radio Service (BRS) Equipment Operating in the Band 2500–2690 MHz.</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pBdr>
        <w:top w:val="nil"/>
        <w:left w:val="nil"/>
        <w:bottom w:val="nil"/>
        <w:right w:val="nil"/>
        <w:between w:val="nil"/>
      </w:pBdr>
      <w:tabs>
        <w:tab w:val="center" w:pos="4320"/>
        <w:tab w:val="right" w:pos="8640"/>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tabs>
        <w:tab w:val="center" w:pos="4320"/>
        <w:tab w:val="right" w:pos="8640"/>
      </w:tabs>
      <w:ind w:hanging="2"/>
      <w:jc w:val="right"/>
    </w:pPr>
  </w:p>
  <w:tbl>
    <w:tblPr>
      <w:tblStyle w:val="af4"/>
      <w:tblpPr w:leftFromText="180" w:rightFromText="180" w:topFromText="180" w:bottomFromText="180" w:vertAnchor="text"/>
      <w:tblW w:w="918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773EB1">
      <w:tc>
        <w:tcPr>
          <w:tcW w:w="9180" w:type="dxa"/>
        </w:tcPr>
        <w:sdt>
          <w:sdtPr>
            <w:tag w:val="goog_rdk_0"/>
            <w:id w:val="-233966511"/>
            <w:lock w:val="contentLocked"/>
          </w:sdtPr>
          <w:sdtEndPr/>
          <w:sdtContent>
            <w:p w:rsidR="00773EB1" w:rsidRDefault="00472ED8">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SPB-002-26</w:t>
              </w:r>
            </w:p>
            <w:p w:rsidR="00773EB1" w:rsidRDefault="00472ED8">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Consultation on the Revisions to the 2500-2690 MHz Band Plan</w:t>
              </w:r>
            </w:p>
            <w:p w:rsidR="00773EB1" w:rsidRDefault="00472ED8">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 xml:space="preserve">Cogeco Comments </w:t>
              </w:r>
            </w:p>
            <w:p w:rsidR="00773EB1" w:rsidRDefault="00472ED8">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Pr>
                  <w:rFonts w:ascii="Arial" w:eastAsia="Arial" w:hAnsi="Arial" w:cs="Arial"/>
                  <w:noProof/>
                  <w:sz w:val="18"/>
                  <w:szCs w:val="18"/>
                </w:rPr>
                <w:t>2</w: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Pr>
                  <w:rFonts w:ascii="Arial" w:eastAsia="Arial" w:hAnsi="Arial" w:cs="Arial"/>
                  <w:noProof/>
                  <w:sz w:val="18"/>
                  <w:szCs w:val="18"/>
                </w:rPr>
                <w:t>12</w:t>
              </w:r>
              <w:r>
                <w:rPr>
                  <w:rFonts w:ascii="Arial" w:eastAsia="Arial" w:hAnsi="Arial" w:cs="Arial"/>
                  <w:sz w:val="18"/>
                  <w:szCs w:val="18"/>
                </w:rPr>
                <w:fldChar w:fldCharType="end"/>
              </w:r>
            </w:p>
          </w:sdtContent>
        </w:sdt>
      </w:tc>
    </w:tr>
  </w:tbl>
  <w:p w:rsidR="00773EB1" w:rsidRDefault="00773EB1">
    <w:pPr>
      <w:tabs>
        <w:tab w:val="center" w:pos="4320"/>
        <w:tab w:val="right" w:pos="8640"/>
      </w:tab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widowControl w:val="0"/>
      <w:pBdr>
        <w:top w:val="nil"/>
        <w:left w:val="nil"/>
        <w:bottom w:val="nil"/>
        <w:right w:val="nil"/>
        <w:between w:val="nil"/>
      </w:pBdr>
      <w:spacing w:line="276" w:lineRule="auto"/>
      <w:ind w:firstLine="0"/>
      <w:rPr>
        <w:color w:val="000000"/>
      </w:rPr>
    </w:pPr>
  </w:p>
  <w:tbl>
    <w:tblPr>
      <w:tblStyle w:val="af5"/>
      <w:tblW w:w="9282" w:type="dxa"/>
      <w:tblInd w:w="-34" w:type="dxa"/>
      <w:tblLayout w:type="fixed"/>
      <w:tblLook w:val="0000" w:firstRow="0" w:lastRow="0" w:firstColumn="0" w:lastColumn="0" w:noHBand="0" w:noVBand="0"/>
    </w:tblPr>
    <w:tblGrid>
      <w:gridCol w:w="4401"/>
      <w:gridCol w:w="4881"/>
    </w:tblGrid>
    <w:tr w:rsidR="00773EB1">
      <w:tc>
        <w:tcPr>
          <w:tcW w:w="4401" w:type="dxa"/>
        </w:tcPr>
        <w:p w:rsidR="00773EB1" w:rsidRDefault="00472ED8">
          <w:pPr>
            <w:pBdr>
              <w:top w:val="nil"/>
              <w:left w:val="nil"/>
              <w:bottom w:val="nil"/>
              <w:right w:val="nil"/>
              <w:between w:val="nil"/>
            </w:pBdr>
            <w:tabs>
              <w:tab w:val="center" w:pos="4320"/>
              <w:tab w:val="right" w:pos="8640"/>
            </w:tabs>
            <w:ind w:left="33" w:hanging="2"/>
            <w:rPr>
              <w:b/>
              <w:bCs/>
              <w:color w:val="000000"/>
            </w:rPr>
          </w:pPr>
          <w:r>
            <w:rPr>
              <w:noProof/>
            </w:rPr>
            <w:drawing>
              <wp:anchor distT="0" distB="0" distL="0" distR="0" simplePos="0" relativeHeight="251658240" behindDoc="1" locked="0" layoutInCell="1" hidden="0" allowOverlap="1">
                <wp:simplePos x="0" y="0"/>
                <wp:positionH relativeFrom="column">
                  <wp:posOffset>-645156</wp:posOffset>
                </wp:positionH>
                <wp:positionV relativeFrom="paragraph">
                  <wp:posOffset>45720</wp:posOffset>
                </wp:positionV>
                <wp:extent cx="2133600" cy="781050"/>
                <wp:effectExtent l="0" t="0" r="0" b="0"/>
                <wp:wrapNone/>
                <wp:docPr id="32" name="image1.png" descr="Clients A-F:Graphisme A - F:COGECO:8505D Plateforme graphique / Papeterie:8505D 4 Production:Visuel:Éléments_En-Tête_RGB:Cogeco Communications:Cogeco_Communications_Logo_P1.pdf"/>
                <wp:cNvGraphicFramePr/>
                <a:graphic xmlns:a="http://schemas.openxmlformats.org/drawingml/2006/main">
                  <a:graphicData uri="http://schemas.openxmlformats.org/drawingml/2006/picture">
                    <pic:pic xmlns:pic="http://schemas.openxmlformats.org/drawingml/2006/picture">
                      <pic:nvPicPr>
                        <pic:cNvPr id="0" name="image1.png" descr="Clients A-F:Graphisme A - F:COGECO:8505D Plateforme graphique / Papeterie:8505D 4 Production:Visuel:Éléments_En-Tête_RGB:Cogeco Communications:Cogeco_Communications_Logo_P1.pdf"/>
                        <pic:cNvPicPr preferRelativeResize="0"/>
                      </pic:nvPicPr>
                      <pic:blipFill>
                        <a:blip r:embed="rId1"/>
                        <a:srcRect/>
                        <a:stretch>
                          <a:fillRect/>
                        </a:stretch>
                      </pic:blipFill>
                      <pic:spPr>
                        <a:xfrm>
                          <a:off x="0" y="0"/>
                          <a:ext cx="2133600" cy="781050"/>
                        </a:xfrm>
                        <a:prstGeom prst="rect">
                          <a:avLst/>
                        </a:prstGeom>
                        <a:ln/>
                      </pic:spPr>
                    </pic:pic>
                  </a:graphicData>
                </a:graphic>
              </wp:anchor>
            </w:drawing>
          </w:r>
        </w:p>
        <w:p w:rsidR="00773EB1" w:rsidRDefault="00773EB1">
          <w:pPr>
            <w:pBdr>
              <w:top w:val="nil"/>
              <w:left w:val="nil"/>
              <w:bottom w:val="nil"/>
              <w:right w:val="nil"/>
              <w:between w:val="nil"/>
            </w:pBdr>
            <w:tabs>
              <w:tab w:val="center" w:pos="4320"/>
              <w:tab w:val="right" w:pos="8640"/>
            </w:tabs>
            <w:ind w:hanging="2"/>
            <w:rPr>
              <w:b/>
              <w:bCs/>
              <w:color w:val="000000"/>
            </w:rPr>
          </w:pPr>
        </w:p>
        <w:p w:rsidR="00773EB1" w:rsidRDefault="00773EB1">
          <w:pPr>
            <w:pBdr>
              <w:top w:val="nil"/>
              <w:left w:val="nil"/>
              <w:bottom w:val="nil"/>
              <w:right w:val="nil"/>
              <w:between w:val="nil"/>
            </w:pBdr>
            <w:tabs>
              <w:tab w:val="center" w:pos="4320"/>
              <w:tab w:val="right" w:pos="8640"/>
            </w:tabs>
            <w:ind w:hanging="2"/>
            <w:rPr>
              <w:b/>
              <w:bCs/>
              <w:color w:val="000000"/>
            </w:rPr>
          </w:pPr>
        </w:p>
        <w:p w:rsidR="00773EB1" w:rsidRDefault="00773EB1">
          <w:pPr>
            <w:pBdr>
              <w:top w:val="nil"/>
              <w:left w:val="nil"/>
              <w:bottom w:val="nil"/>
              <w:right w:val="nil"/>
              <w:between w:val="nil"/>
            </w:pBdr>
            <w:tabs>
              <w:tab w:val="center" w:pos="4320"/>
              <w:tab w:val="right" w:pos="8640"/>
            </w:tabs>
            <w:ind w:hanging="2"/>
            <w:rPr>
              <w:b/>
              <w:bCs/>
              <w:color w:val="000000"/>
            </w:rPr>
          </w:pPr>
        </w:p>
        <w:p w:rsidR="00773EB1" w:rsidRDefault="00472ED8">
          <w:pPr>
            <w:pBdr>
              <w:top w:val="nil"/>
              <w:left w:val="nil"/>
              <w:bottom w:val="nil"/>
              <w:right w:val="nil"/>
              <w:between w:val="nil"/>
            </w:pBdr>
            <w:tabs>
              <w:tab w:val="center" w:pos="4320"/>
              <w:tab w:val="right" w:pos="8640"/>
            </w:tabs>
            <w:ind w:left="-90" w:firstLine="0"/>
            <w:rPr>
              <w:rFonts w:ascii="Arial" w:eastAsia="Arial" w:hAnsi="Arial" w:cs="Arial"/>
              <w:color w:val="000000"/>
            </w:rPr>
          </w:pPr>
          <w:r>
            <w:rPr>
              <w:rFonts w:ascii="Arial" w:eastAsia="Arial" w:hAnsi="Arial" w:cs="Arial"/>
              <w:b/>
              <w:bCs/>
              <w:color w:val="000000"/>
            </w:rPr>
            <w:t>Regulatory Affairs</w:t>
          </w:r>
        </w:p>
      </w:tc>
      <w:tc>
        <w:tcPr>
          <w:tcW w:w="4881" w:type="dxa"/>
        </w:tcPr>
        <w:p w:rsidR="00773EB1" w:rsidRDefault="00773EB1">
          <w:pPr>
            <w:keepLines/>
            <w:pBdr>
              <w:top w:val="nil"/>
              <w:left w:val="nil"/>
              <w:bottom w:val="nil"/>
              <w:right w:val="nil"/>
              <w:between w:val="nil"/>
            </w:pBdr>
            <w:ind w:hanging="2"/>
            <w:jc w:val="right"/>
            <w:rPr>
              <w:color w:val="000000"/>
              <w:sz w:val="18"/>
              <w:szCs w:val="18"/>
            </w:rPr>
          </w:pPr>
        </w:p>
        <w:p w:rsidR="00773EB1" w:rsidRDefault="00472ED8">
          <w:pPr>
            <w:keepLines/>
            <w:pBdr>
              <w:top w:val="nil"/>
              <w:left w:val="nil"/>
              <w:bottom w:val="nil"/>
              <w:right w:val="nil"/>
              <w:between w:val="nil"/>
            </w:pBdr>
            <w:ind w:hanging="2"/>
            <w:jc w:val="right"/>
            <w:rPr>
              <w:color w:val="000000"/>
              <w:sz w:val="18"/>
              <w:szCs w:val="18"/>
            </w:rPr>
          </w:pPr>
          <w:r>
            <w:rPr>
              <w:color w:val="000000"/>
              <w:sz w:val="18"/>
              <w:szCs w:val="18"/>
            </w:rPr>
            <w:t>1 Place Ville Marie, bureau 3301</w:t>
          </w:r>
        </w:p>
        <w:p w:rsidR="00773EB1" w:rsidRDefault="00472ED8">
          <w:pPr>
            <w:keepLines/>
            <w:pBdr>
              <w:top w:val="nil"/>
              <w:left w:val="nil"/>
              <w:bottom w:val="nil"/>
              <w:right w:val="nil"/>
              <w:between w:val="nil"/>
            </w:pBdr>
            <w:ind w:hanging="2"/>
            <w:jc w:val="right"/>
            <w:rPr>
              <w:color w:val="000000"/>
              <w:sz w:val="18"/>
              <w:szCs w:val="18"/>
            </w:rPr>
          </w:pPr>
          <w:r>
            <w:rPr>
              <w:color w:val="000000"/>
              <w:sz w:val="18"/>
              <w:szCs w:val="18"/>
            </w:rPr>
            <w:t>Montréal (Québec) H3B 3N2</w:t>
          </w:r>
        </w:p>
        <w:p w:rsidR="00773EB1" w:rsidRDefault="00472ED8">
          <w:pPr>
            <w:keepLines/>
            <w:pBdr>
              <w:top w:val="nil"/>
              <w:left w:val="nil"/>
              <w:bottom w:val="nil"/>
              <w:right w:val="nil"/>
              <w:between w:val="nil"/>
            </w:pBdr>
            <w:ind w:hanging="2"/>
            <w:jc w:val="right"/>
            <w:rPr>
              <w:color w:val="000000"/>
              <w:sz w:val="18"/>
              <w:szCs w:val="18"/>
            </w:rPr>
          </w:pPr>
          <w:r>
            <w:rPr>
              <w:color w:val="000000"/>
              <w:sz w:val="18"/>
              <w:szCs w:val="18"/>
            </w:rPr>
            <w:t>Telephone</w:t>
          </w:r>
          <w:proofErr w:type="gramStart"/>
          <w:r>
            <w:rPr>
              <w:color w:val="000000"/>
              <w:sz w:val="18"/>
              <w:szCs w:val="18"/>
            </w:rPr>
            <w:t>:  (</w:t>
          </w:r>
          <w:proofErr w:type="gramEnd"/>
          <w:r>
            <w:rPr>
              <w:color w:val="000000"/>
              <w:sz w:val="18"/>
              <w:szCs w:val="18"/>
            </w:rPr>
            <w:t>514) 764-4700</w:t>
          </w:r>
        </w:p>
        <w:p w:rsidR="00773EB1" w:rsidRDefault="00472ED8">
          <w:pPr>
            <w:keepLines/>
            <w:pBdr>
              <w:top w:val="nil"/>
              <w:left w:val="nil"/>
              <w:bottom w:val="nil"/>
              <w:right w:val="nil"/>
              <w:between w:val="nil"/>
            </w:pBdr>
            <w:ind w:hanging="2"/>
            <w:jc w:val="right"/>
            <w:rPr>
              <w:color w:val="000000"/>
              <w:sz w:val="18"/>
              <w:szCs w:val="18"/>
            </w:rPr>
          </w:pPr>
          <w:r>
            <w:rPr>
              <w:color w:val="000000"/>
              <w:sz w:val="18"/>
              <w:szCs w:val="18"/>
            </w:rPr>
            <w:t>Fax</w:t>
          </w:r>
          <w:proofErr w:type="gramStart"/>
          <w:r>
            <w:rPr>
              <w:color w:val="000000"/>
              <w:sz w:val="18"/>
              <w:szCs w:val="18"/>
            </w:rPr>
            <w:t>:  (</w:t>
          </w:r>
          <w:proofErr w:type="gramEnd"/>
          <w:r>
            <w:rPr>
              <w:color w:val="000000"/>
              <w:sz w:val="18"/>
              <w:szCs w:val="18"/>
            </w:rPr>
            <w:t>514) 874-2625</w:t>
          </w:r>
        </w:p>
        <w:p w:rsidR="00773EB1" w:rsidRDefault="005A3C72">
          <w:pPr>
            <w:keepLines/>
            <w:pBdr>
              <w:top w:val="nil"/>
              <w:left w:val="nil"/>
              <w:bottom w:val="nil"/>
              <w:right w:val="nil"/>
              <w:between w:val="nil"/>
            </w:pBdr>
            <w:ind w:hanging="2"/>
            <w:jc w:val="right"/>
            <w:rPr>
              <w:color w:val="000000"/>
              <w:sz w:val="18"/>
              <w:szCs w:val="18"/>
            </w:rPr>
          </w:pPr>
          <w:hyperlink r:id="rId2">
            <w:r w:rsidR="00472ED8">
              <w:rPr>
                <w:color w:val="0000FF"/>
                <w:sz w:val="18"/>
                <w:szCs w:val="18"/>
                <w:u w:val="single"/>
              </w:rPr>
              <w:t>telecom.regulatory@cogeco.com</w:t>
            </w:r>
          </w:hyperlink>
        </w:p>
      </w:tc>
    </w:tr>
  </w:tbl>
  <w:p w:rsidR="00773EB1" w:rsidRDefault="00773EB1">
    <w:pPr>
      <w:pBdr>
        <w:top w:val="nil"/>
        <w:left w:val="nil"/>
        <w:bottom w:val="nil"/>
        <w:right w:val="nil"/>
        <w:between w:val="nil"/>
      </w:pBdr>
      <w:tabs>
        <w:tab w:val="center" w:pos="4320"/>
        <w:tab w:val="right" w:pos="8640"/>
      </w:tabs>
      <w:ind w:hanging="2"/>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tabs>
        <w:tab w:val="center" w:pos="4320"/>
        <w:tab w:val="right" w:pos="8640"/>
      </w:tabs>
      <w:ind w:hanging="2"/>
      <w:jc w:val="right"/>
    </w:pPr>
  </w:p>
  <w:tbl>
    <w:tblPr>
      <w:tblStyle w:val="af6"/>
      <w:tblpPr w:leftFromText="180" w:rightFromText="180" w:topFromText="180" w:bottomFromText="180" w:vertAnchor="text"/>
      <w:tblW w:w="918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773EB1">
      <w:tc>
        <w:tcPr>
          <w:tcW w:w="9180" w:type="dxa"/>
        </w:tcPr>
        <w:sdt>
          <w:sdtPr>
            <w:tag w:val="goog_rdk_1"/>
            <w:id w:val="-283326065"/>
            <w:lock w:val="contentLocked"/>
          </w:sdtPr>
          <w:sdtEndPr/>
          <w:sdtContent>
            <w:p w:rsidR="00773EB1" w:rsidRDefault="00472ED8">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SPB-002-26</w:t>
              </w:r>
            </w:p>
            <w:p w:rsidR="00773EB1" w:rsidRDefault="00472ED8">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Consultation on the Revisions to the 2500-2690 MHz Band Plan</w:t>
              </w:r>
            </w:p>
            <w:p w:rsidR="00773EB1" w:rsidRDefault="00472ED8">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 xml:space="preserve">Cogeco Comments </w:t>
              </w:r>
            </w:p>
            <w:p w:rsidR="00773EB1" w:rsidRDefault="00472ED8">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Pr>
                  <w:rFonts w:ascii="Arial" w:eastAsia="Arial" w:hAnsi="Arial" w:cs="Arial"/>
                  <w:noProof/>
                  <w:sz w:val="18"/>
                  <w:szCs w:val="18"/>
                </w:rPr>
                <w:t>12</w: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Pr>
                  <w:rFonts w:ascii="Arial" w:eastAsia="Arial" w:hAnsi="Arial" w:cs="Arial"/>
                  <w:noProof/>
                  <w:sz w:val="18"/>
                  <w:szCs w:val="18"/>
                </w:rPr>
                <w:t>12</w:t>
              </w:r>
              <w:r>
                <w:rPr>
                  <w:rFonts w:ascii="Arial" w:eastAsia="Arial" w:hAnsi="Arial" w:cs="Arial"/>
                  <w:sz w:val="18"/>
                  <w:szCs w:val="18"/>
                </w:rPr>
                <w:fldChar w:fldCharType="end"/>
              </w:r>
            </w:p>
          </w:sdtContent>
        </w:sdt>
      </w:tc>
    </w:tr>
  </w:tbl>
  <w:p w:rsidR="00773EB1" w:rsidRDefault="00773EB1">
    <w:pPr>
      <w:tabs>
        <w:tab w:val="center" w:pos="4320"/>
        <w:tab w:val="right" w:pos="8640"/>
      </w:tabs>
      <w:ind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3EB1" w:rsidRDefault="00773EB1">
    <w:pPr>
      <w:tabs>
        <w:tab w:val="center" w:pos="4320"/>
        <w:tab w:val="right" w:pos="8640"/>
      </w:tabs>
      <w:ind w:hanging="2"/>
      <w:jc w:val="right"/>
    </w:pPr>
  </w:p>
  <w:tbl>
    <w:tblPr>
      <w:tblStyle w:val="af7"/>
      <w:tblpPr w:leftFromText="180" w:rightFromText="180" w:topFromText="180" w:bottomFromText="180" w:vertAnchor="text"/>
      <w:tblW w:w="918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773EB1">
      <w:tc>
        <w:tcPr>
          <w:tcW w:w="9180" w:type="dxa"/>
        </w:tcPr>
        <w:sdt>
          <w:sdtPr>
            <w:tag w:val="goog_rdk_2"/>
            <w:id w:val="-378842310"/>
            <w:lock w:val="contentLocked"/>
          </w:sdtPr>
          <w:sdtEndPr/>
          <w:sdtContent>
            <w:p w:rsidR="00773EB1" w:rsidRDefault="00472ED8">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SPB-002-25</w:t>
              </w:r>
            </w:p>
            <w:p w:rsidR="00773EB1" w:rsidRDefault="00472ED8">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Consultation on the 26 GHz and 38 GHz Bands</w:t>
              </w:r>
            </w:p>
            <w:p w:rsidR="00773EB1" w:rsidRDefault="00472ED8">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 xml:space="preserve">Cogeco Comments </w:t>
              </w:r>
            </w:p>
            <w:p w:rsidR="00773EB1" w:rsidRDefault="00472ED8">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end"/>
              </w:r>
            </w:p>
          </w:sdtContent>
        </w:sdt>
      </w:tc>
    </w:tr>
  </w:tbl>
  <w:p w:rsidR="00773EB1" w:rsidRDefault="00773EB1">
    <w:pPr>
      <w:tabs>
        <w:tab w:val="center" w:pos="4320"/>
        <w:tab w:val="right" w:pos="8640"/>
      </w:tabs>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AE041C"/>
    <w:multiLevelType w:val="multilevel"/>
    <w:tmpl w:val="CC18708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pStyle w:val="Heading7"/>
      <w:lvlText w:val="%7."/>
      <w:lvlJc w:val="left"/>
      <w:pPr>
        <w:ind w:left="5040" w:hanging="360"/>
      </w:pPr>
      <w:rPr>
        <w:u w:val="none"/>
      </w:rPr>
    </w:lvl>
    <w:lvl w:ilvl="7">
      <w:start w:val="1"/>
      <w:numFmt w:val="lowerRoman"/>
      <w:pStyle w:val="Heading8"/>
      <w:lvlText w:val="%8."/>
      <w:lvlJc w:val="right"/>
      <w:pPr>
        <w:ind w:left="5760" w:hanging="360"/>
      </w:pPr>
      <w:rPr>
        <w:u w:val="none"/>
      </w:rPr>
    </w:lvl>
    <w:lvl w:ilvl="8">
      <w:start w:val="1"/>
      <w:numFmt w:val="decimal"/>
      <w:pStyle w:val="Heading9"/>
      <w:lvlText w:val="%9."/>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EB1"/>
    <w:rsid w:val="003D639E"/>
    <w:rsid w:val="00472ED8"/>
    <w:rsid w:val="00476D4F"/>
    <w:rsid w:val="005A3C72"/>
    <w:rsid w:val="00773EB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D7E5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CA" w:eastAsia="en-CA" w:bidi="ar-SA"/>
      </w:rPr>
    </w:rPrDefault>
    <w:pPrDefault>
      <w:pPr>
        <w:ind w:hanging="1"/>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Arial" w:eastAsia="Arial" w:hAnsi="Arial" w:cs="Arial"/>
      <w:b/>
      <w:bCs/>
      <w:sz w:val="32"/>
      <w:szCs w:val="32"/>
    </w:rPr>
  </w:style>
  <w:style w:type="paragraph" w:styleId="Heading2">
    <w:name w:val="heading 2"/>
    <w:basedOn w:val="Normal"/>
    <w:next w:val="Normal"/>
    <w:link w:val="Heading2Char"/>
    <w:uiPriority w:val="9"/>
    <w:semiHidden/>
    <w:unhideWhenUsed/>
    <w:qFormat/>
    <w:pPr>
      <w:keepNext/>
      <w:spacing w:before="240" w:after="60"/>
      <w:ind w:left="2881"/>
      <w:jc w:val="both"/>
      <w:outlineLvl w:val="1"/>
    </w:pPr>
    <w:rPr>
      <w:rFonts w:ascii="Arial" w:eastAsia="Arial" w:hAnsi="Arial" w:cs="Arial"/>
    </w:rPr>
  </w:style>
  <w:style w:type="paragraph" w:styleId="Heading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Heading4">
    <w:name w:val="heading 4"/>
    <w:basedOn w:val="Normal"/>
    <w:next w:val="Normal"/>
    <w:uiPriority w:val="9"/>
    <w:semiHidden/>
    <w:unhideWhenUsed/>
    <w:qFormat/>
    <w:pPr>
      <w:keepNext/>
      <w:spacing w:before="240" w:after="60"/>
      <w:outlineLvl w:val="3"/>
    </w:pPr>
    <w:rPr>
      <w:b/>
      <w:bCs/>
      <w:sz w:val="28"/>
      <w:szCs w:val="28"/>
    </w:rPr>
  </w:style>
  <w:style w:type="paragraph" w:styleId="Heading5">
    <w:name w:val="heading 5"/>
    <w:basedOn w:val="Normal"/>
    <w:next w:val="Normal"/>
    <w:uiPriority w:val="9"/>
    <w:semiHidden/>
    <w:unhideWhenUsed/>
    <w:qFormat/>
    <w:pPr>
      <w:spacing w:before="240" w:after="60"/>
      <w:outlineLvl w:val="4"/>
    </w:pPr>
    <w:rPr>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paragraph" w:styleId="Heading7">
    <w:name w:val="heading 7"/>
    <w:basedOn w:val="Normal"/>
    <w:next w:val="Normal"/>
    <w:pPr>
      <w:numPr>
        <w:ilvl w:val="6"/>
        <w:numId w:val="1"/>
      </w:numPr>
      <w:spacing w:before="240" w:after="60"/>
      <w:ind w:left="-1" w:hanging="1"/>
      <w:outlineLvl w:val="6"/>
    </w:pPr>
  </w:style>
  <w:style w:type="paragraph" w:styleId="Heading8">
    <w:name w:val="heading 8"/>
    <w:basedOn w:val="Normal"/>
    <w:next w:val="Normal"/>
    <w:pPr>
      <w:numPr>
        <w:ilvl w:val="7"/>
        <w:numId w:val="1"/>
      </w:numPr>
      <w:spacing w:before="240" w:after="60"/>
      <w:ind w:left="-1" w:hanging="1"/>
      <w:outlineLvl w:val="7"/>
    </w:pPr>
    <w:rPr>
      <w:i/>
      <w:iCs/>
    </w:rPr>
  </w:style>
  <w:style w:type="paragraph" w:styleId="Heading9">
    <w:name w:val="heading 9"/>
    <w:basedOn w:val="Normal"/>
    <w:next w:val="Normal"/>
    <w:pPr>
      <w:numPr>
        <w:ilvl w:val="8"/>
        <w:numId w:val="1"/>
      </w:numPr>
      <w:spacing w:before="240" w:after="60"/>
      <w:ind w:left="-1" w:hanging="1"/>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 Normal1"/>
    <w:tblPr>
      <w:tblCellMar>
        <w:top w:w="0" w:type="dxa"/>
        <w:left w:w="0" w:type="dxa"/>
        <w:bottom w:w="0" w:type="dxa"/>
        <w:right w:w="0" w:type="dxa"/>
      </w:tblCellMar>
    </w:tblPr>
  </w:style>
  <w:style w:type="character" w:customStyle="1" w:styleId="Titre1Car">
    <w:name w:val="Titre 1 Car"/>
    <w:rPr>
      <w:rFonts w:ascii="Arial" w:hAnsi="Arial" w:cs="Arial"/>
      <w:b/>
      <w:bCs/>
      <w:w w:val="100"/>
      <w:kern w:val="32"/>
      <w:position w:val="-1"/>
      <w:sz w:val="32"/>
      <w:szCs w:val="32"/>
      <w:effect w:val="none"/>
      <w:vertAlign w:val="baseline"/>
      <w:cs w:val="0"/>
      <w:em w:val="none"/>
    </w:rPr>
  </w:style>
  <w:style w:type="character" w:customStyle="1" w:styleId="Titre2Car">
    <w:name w:val="Titre 2 Car"/>
    <w:rPr>
      <w:rFonts w:ascii="Arial" w:hAnsi="Arial" w:cs="Arial"/>
      <w:b/>
      <w:bCs/>
      <w:i/>
      <w:iCs/>
      <w:w w:val="100"/>
      <w:position w:val="-1"/>
      <w:sz w:val="28"/>
      <w:szCs w:val="28"/>
      <w:effect w:val="none"/>
      <w:vertAlign w:val="baseline"/>
      <w:cs w:val="0"/>
      <w:em w:val="none"/>
    </w:rPr>
  </w:style>
  <w:style w:type="character" w:customStyle="1" w:styleId="Titre3Car">
    <w:name w:val="Titre 3 Car"/>
    <w:rPr>
      <w:rFonts w:ascii="Arial" w:hAnsi="Arial" w:cs="Arial"/>
      <w:b/>
      <w:bCs/>
      <w:w w:val="100"/>
      <w:position w:val="-1"/>
      <w:sz w:val="26"/>
      <w:szCs w:val="26"/>
      <w:effect w:val="none"/>
      <w:vertAlign w:val="baseline"/>
      <w:cs w:val="0"/>
      <w:em w:val="none"/>
    </w:rPr>
  </w:style>
  <w:style w:type="character" w:customStyle="1" w:styleId="Titre4Car">
    <w:name w:val="Titre 4 Car"/>
    <w:rPr>
      <w:b/>
      <w:bCs/>
      <w:w w:val="100"/>
      <w:position w:val="-1"/>
      <w:sz w:val="28"/>
      <w:szCs w:val="28"/>
      <w:effect w:val="none"/>
      <w:vertAlign w:val="baseline"/>
      <w:cs w:val="0"/>
      <w:em w:val="none"/>
    </w:rPr>
  </w:style>
  <w:style w:type="character" w:customStyle="1" w:styleId="Titre5Car">
    <w:name w:val="Titre 5 Car"/>
    <w:rPr>
      <w:b/>
      <w:bCs/>
      <w:i/>
      <w:iCs/>
      <w:w w:val="100"/>
      <w:position w:val="-1"/>
      <w:sz w:val="26"/>
      <w:szCs w:val="26"/>
      <w:effect w:val="none"/>
      <w:vertAlign w:val="baseline"/>
      <w:cs w:val="0"/>
      <w:em w:val="none"/>
    </w:rPr>
  </w:style>
  <w:style w:type="character" w:customStyle="1" w:styleId="Titre6Car">
    <w:name w:val="Titre 6 Car"/>
    <w:rPr>
      <w:b/>
      <w:bCs/>
      <w:w w:val="100"/>
      <w:position w:val="-1"/>
      <w:sz w:val="22"/>
      <w:szCs w:val="22"/>
      <w:effect w:val="none"/>
      <w:vertAlign w:val="baseline"/>
      <w:cs w:val="0"/>
      <w:em w:val="none"/>
    </w:rPr>
  </w:style>
  <w:style w:type="character" w:customStyle="1" w:styleId="Titre7Car">
    <w:name w:val="Titre 7 Car"/>
    <w:rPr>
      <w:w w:val="100"/>
      <w:position w:val="-1"/>
      <w:sz w:val="24"/>
      <w:szCs w:val="24"/>
      <w:effect w:val="none"/>
      <w:vertAlign w:val="baseline"/>
      <w:cs w:val="0"/>
      <w:em w:val="none"/>
    </w:rPr>
  </w:style>
  <w:style w:type="character" w:customStyle="1" w:styleId="Titre8Car">
    <w:name w:val="Titre 8 Car"/>
    <w:rPr>
      <w:i/>
      <w:iCs/>
      <w:w w:val="100"/>
      <w:position w:val="-1"/>
      <w:sz w:val="24"/>
      <w:szCs w:val="24"/>
      <w:effect w:val="none"/>
      <w:vertAlign w:val="baseline"/>
      <w:cs w:val="0"/>
      <w:em w:val="none"/>
    </w:rPr>
  </w:style>
  <w:style w:type="character" w:customStyle="1" w:styleId="Titre9Car">
    <w:name w:val="Titre 9 Car"/>
    <w:rPr>
      <w:rFonts w:ascii="Arial" w:hAnsi="Arial" w:cs="Arial"/>
      <w:w w:val="100"/>
      <w:position w:val="-1"/>
      <w:sz w:val="22"/>
      <w:szCs w:val="22"/>
      <w:effect w:val="none"/>
      <w:vertAlign w:val="baseline"/>
      <w:cs w:val="0"/>
      <w:em w:val="none"/>
    </w:rPr>
  </w:style>
  <w:style w:type="paragraph" w:styleId="TOC1">
    <w:name w:val="toc 1"/>
    <w:basedOn w:val="Normal"/>
    <w:next w:val="Normal"/>
  </w:style>
  <w:style w:type="character" w:styleId="Hyperlink">
    <w:name w:val="Hyperlink"/>
    <w:rPr>
      <w:color w:val="0000FF"/>
      <w:w w:val="100"/>
      <w:position w:val="-1"/>
      <w:u w:val="single"/>
      <w:effect w:val="none"/>
      <w:vertAlign w:val="baseline"/>
      <w:cs w:val="0"/>
      <w:em w:val="none"/>
    </w:rPr>
  </w:style>
  <w:style w:type="paragraph" w:styleId="TOC2">
    <w:name w:val="toc 2"/>
    <w:basedOn w:val="Normal"/>
    <w:next w:val="Normal"/>
    <w:pPr>
      <w:ind w:left="240"/>
    </w:pPr>
  </w:style>
  <w:style w:type="paragraph" w:styleId="Footer">
    <w:name w:val="footer"/>
    <w:basedOn w:val="Normal"/>
    <w:pPr>
      <w:tabs>
        <w:tab w:val="center" w:pos="4320"/>
        <w:tab w:val="right" w:pos="8640"/>
      </w:tabs>
    </w:pPr>
  </w:style>
  <w:style w:type="character" w:customStyle="1" w:styleId="PieddepageCar">
    <w:name w:val="Pied de page Car"/>
    <w:rPr>
      <w:w w:val="100"/>
      <w:position w:val="-1"/>
      <w:sz w:val="24"/>
      <w:szCs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customStyle="1" w:styleId="Notedebasdepage1">
    <w:name w:val="Note de bas de page1"/>
    <w:aliases w:val="ALTS FOOTNOTE"/>
    <w:basedOn w:val="Normal"/>
    <w:rPr>
      <w:sz w:val="20"/>
      <w:szCs w:val="20"/>
    </w:rPr>
  </w:style>
  <w:style w:type="character" w:customStyle="1" w:styleId="NotedebasdepageCar">
    <w:name w:val="Note de bas de page Car"/>
    <w:aliases w:val="ALTS FOOTNOTE Car"/>
    <w:uiPriority w:val="99"/>
    <w:rPr>
      <w:w w:val="100"/>
      <w:position w:val="-1"/>
      <w:effect w:val="none"/>
      <w:vertAlign w:val="baseline"/>
      <w:cs w:val="0"/>
      <w:em w:val="none"/>
    </w:rPr>
  </w:style>
  <w:style w:type="character" w:styleId="FootnoteReference">
    <w:name w:val="footnote reference"/>
    <w:uiPriority w:val="99"/>
    <w:rPr>
      <w:w w:val="100"/>
      <w:position w:val="-1"/>
      <w:effect w:val="none"/>
      <w:vertAlign w:val="superscript"/>
      <w:cs w:val="0"/>
      <w:em w:val="none"/>
    </w:rPr>
  </w:style>
  <w:style w:type="paragraph" w:customStyle="1" w:styleId="Quotes">
    <w:name w:val="Quotes"/>
    <w:basedOn w:val="Normal"/>
    <w:next w:val="Normal"/>
    <w:pPr>
      <w:autoSpaceDE w:val="0"/>
      <w:autoSpaceDN w:val="0"/>
      <w:adjustRightInd w:val="0"/>
      <w:spacing w:before="120" w:after="120"/>
    </w:p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lang w:val="fr-CA"/>
    </w:rPr>
  </w:style>
  <w:style w:type="paragraph" w:styleId="Header">
    <w:name w:val="header"/>
    <w:basedOn w:val="Normal"/>
    <w:pPr>
      <w:tabs>
        <w:tab w:val="center" w:pos="4320"/>
        <w:tab w:val="right" w:pos="8640"/>
      </w:tabs>
    </w:pPr>
  </w:style>
  <w:style w:type="character" w:customStyle="1" w:styleId="En-tteCar">
    <w:name w:val="En-tête Car"/>
    <w:rPr>
      <w:w w:val="100"/>
      <w:position w:val="-1"/>
      <w:sz w:val="24"/>
      <w:szCs w:val="24"/>
      <w:effect w:val="none"/>
      <w:vertAlign w:val="baseline"/>
      <w:cs w:val="0"/>
      <w:em w:val="none"/>
    </w:rPr>
  </w:style>
  <w:style w:type="paragraph" w:customStyle="1" w:styleId="ReturnAddress">
    <w:name w:val="Return Address"/>
    <w:basedOn w:val="Normal"/>
    <w:pPr>
      <w:keepLines/>
      <w:framePr w:w="5040" w:hSpace="187" w:vSpace="187" w:wrap="notBeside" w:hAnchor="margin" w:y="966"/>
      <w:spacing w:line="200" w:lineRule="atLeast"/>
    </w:pPr>
    <w:rPr>
      <w:rFonts w:ascii="Arial" w:hAnsi="Arial"/>
      <w:spacing w:val="-2"/>
      <w:sz w:val="16"/>
      <w:szCs w:val="20"/>
      <w:lang w:val="en-US" w:eastAsia="en-US"/>
    </w:rPr>
  </w:style>
  <w:style w:type="paragraph" w:styleId="ListParagraph">
    <w:name w:val="List Paragraph"/>
    <w:basedOn w:val="Normal"/>
    <w:pPr>
      <w:spacing w:after="200" w:line="276" w:lineRule="auto"/>
      <w:ind w:left="720"/>
      <w:contextualSpacing/>
    </w:pPr>
    <w:rPr>
      <w:rFonts w:ascii="Calibri" w:eastAsia="Calibri" w:hAnsi="Calibri"/>
      <w:sz w:val="22"/>
      <w:szCs w:val="22"/>
      <w:lang w:eastAsia="en-US"/>
    </w:rPr>
  </w:style>
  <w:style w:type="paragraph" w:styleId="BalloonText">
    <w:name w:val="Balloon Text"/>
    <w:basedOn w:val="Normal"/>
    <w:qFormat/>
    <w:rPr>
      <w:rFonts w:ascii="Tahoma" w:hAnsi="Tahoma"/>
      <w:sz w:val="16"/>
      <w:szCs w:val="16"/>
    </w:rPr>
  </w:style>
  <w:style w:type="character" w:customStyle="1" w:styleId="TextedebullesCar">
    <w:name w:val="Texte de bulles Car"/>
    <w:rPr>
      <w:rFonts w:ascii="Tahoma" w:hAnsi="Tahoma" w:cs="Tahoma"/>
      <w:w w:val="100"/>
      <w:position w:val="-1"/>
      <w:sz w:val="16"/>
      <w:szCs w:val="16"/>
      <w:effect w:val="none"/>
      <w:vertAlign w:val="baseline"/>
      <w:cs w:val="0"/>
      <w:em w:val="none"/>
      <w:lang w:val="fr-CA" w:eastAsia="fr-CA"/>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CommentaireCar">
    <w:name w:val="Commentaire Car"/>
    <w:rPr>
      <w:w w:val="100"/>
      <w:position w:val="-1"/>
      <w:effect w:val="none"/>
      <w:vertAlign w:val="baseline"/>
      <w:cs w:val="0"/>
      <w:em w:val="none"/>
      <w:lang w:val="fr-CA" w:eastAsia="fr-CA"/>
    </w:rPr>
  </w:style>
  <w:style w:type="paragraph" w:styleId="CommentSubject">
    <w:name w:val="annotation subject"/>
    <w:basedOn w:val="CommentText"/>
    <w:next w:val="CommentText"/>
    <w:qFormat/>
    <w:rPr>
      <w:b/>
      <w:bCs/>
    </w:rPr>
  </w:style>
  <w:style w:type="character" w:customStyle="1" w:styleId="ObjetducommentaireCar">
    <w:name w:val="Objet du commentaire Car"/>
    <w:rPr>
      <w:b/>
      <w:bCs/>
      <w:w w:val="100"/>
      <w:position w:val="-1"/>
      <w:effect w:val="none"/>
      <w:vertAlign w:val="baseline"/>
      <w:cs w:val="0"/>
      <w:em w:val="none"/>
      <w:lang w:val="fr-CA" w:eastAsia="fr-CA"/>
    </w:rPr>
  </w:style>
  <w:style w:type="paragraph" w:styleId="NormalWeb">
    <w:name w:val="Normal (Web)"/>
    <w:basedOn w:val="Normal"/>
    <w:uiPriority w:val="99"/>
    <w:qFormat/>
    <w:pPr>
      <w:spacing w:before="100" w:beforeAutospacing="1" w:after="100" w:afterAutospacing="1"/>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w w:val="100"/>
      <w:position w:val="-1"/>
      <w:u w:val="single"/>
      <w:effect w:val="none"/>
      <w:vertAlign w:val="baseline"/>
      <w:cs w:val="0"/>
      <w:em w:val="none"/>
    </w:rPr>
  </w:style>
  <w:style w:type="character" w:styleId="Strong">
    <w:name w:val="Strong"/>
    <w:rPr>
      <w:b/>
      <w:bCs/>
      <w:w w:val="100"/>
      <w:position w:val="-1"/>
      <w:effect w:val="none"/>
      <w:vertAlign w:val="baseline"/>
      <w:cs w:val="0"/>
      <w:em w:val="none"/>
    </w:rPr>
  </w:style>
  <w:style w:type="character" w:styleId="HTMLCite">
    <w:name w:val="HTML Cite"/>
    <w:qFormat/>
    <w:rPr>
      <w:i/>
      <w:iCs/>
      <w:w w:val="100"/>
      <w:position w:val="-1"/>
      <w:effect w:val="none"/>
      <w:vertAlign w:val="baseline"/>
      <w:cs w:val="0"/>
      <w:em w:val="none"/>
    </w:rPr>
  </w:style>
  <w:style w:type="character" w:customStyle="1" w:styleId="nowrap1">
    <w:name w:val="nowrap1"/>
    <w:basedOn w:val="DefaultParagraphFont"/>
    <w:rPr>
      <w:w w:val="100"/>
      <w:position w:val="-1"/>
      <w:effect w:val="none"/>
      <w:vertAlign w:val="baseline"/>
      <w:cs w:val="0"/>
      <w:em w:val="none"/>
    </w:rPr>
  </w:style>
  <w:style w:type="paragraph" w:customStyle="1" w:styleId="TextLeft">
    <w:name w:val="Text Left"/>
    <w:basedOn w:val="Normal"/>
    <w:pPr>
      <w:spacing w:after="240" w:line="276" w:lineRule="auto"/>
    </w:pPr>
    <w:rPr>
      <w:rFonts w:ascii="Arial" w:eastAsia="Calibri" w:hAnsi="Arial"/>
      <w:sz w:val="20"/>
      <w:szCs w:val="20"/>
      <w:lang w:eastAsia="en-US"/>
    </w:rPr>
  </w:style>
  <w:style w:type="character" w:customStyle="1" w:styleId="nowrap">
    <w:name w:val="nowrap"/>
    <w:basedOn w:val="DefaultParagraphFont"/>
    <w:rPr>
      <w:w w:val="100"/>
      <w:position w:val="-1"/>
      <w:effect w:val="none"/>
      <w:vertAlign w:val="baseline"/>
      <w:cs w:val="0"/>
      <w:em w:val="none"/>
    </w:rPr>
  </w:style>
  <w:style w:type="paragraph" w:styleId="Caption">
    <w:name w:val="caption"/>
    <w:basedOn w:val="Normal"/>
    <w:next w:val="Normal"/>
    <w:pPr>
      <w:spacing w:after="160" w:line="259" w:lineRule="auto"/>
    </w:pPr>
    <w:rPr>
      <w:rFonts w:ascii="Calibri" w:eastAsia="Calibri" w:hAnsi="Calibri"/>
      <w:b/>
      <w:bCs/>
      <w:color w:val="006633"/>
      <w:sz w:val="22"/>
      <w:szCs w:val="22"/>
      <w:lang w:eastAsia="en-US"/>
    </w:rPr>
  </w:style>
  <w:style w:type="paragraph" w:styleId="Revision">
    <w:name w:val="Revision"/>
    <w:pPr>
      <w:suppressAutoHyphens/>
      <w:spacing w:line="1" w:lineRule="atLeast"/>
      <w:ind w:leftChars="-1" w:left="-1" w:hangingChars="1"/>
      <w:textDirection w:val="btLr"/>
      <w:textAlignment w:val="top"/>
      <w:outlineLvl w:val="0"/>
    </w:pPr>
    <w:rPr>
      <w:rFonts w:ascii="Calibri" w:eastAsia="Calibri" w:hAnsi="Calibri"/>
      <w:position w:val="-1"/>
      <w:sz w:val="22"/>
      <w:szCs w:val="22"/>
    </w:r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table" w:customStyle="1" w:styleId="a">
    <w:basedOn w:val="TableNormal10"/>
    <w:tblPr>
      <w:tblStyleRowBandSize w:val="1"/>
      <w:tblStyleColBandSize w:val="1"/>
      <w:tblCellMar>
        <w:left w:w="108" w:type="dxa"/>
        <w:right w:w="108" w:type="dxa"/>
      </w:tblCellMar>
    </w:tblPr>
  </w:style>
  <w:style w:type="table" w:customStyle="1" w:styleId="a0">
    <w:basedOn w:val="TableNormal10"/>
    <w:tblPr>
      <w:tblStyleRowBandSize w:val="1"/>
      <w:tblStyleColBandSize w:val="1"/>
      <w:tblCellMar>
        <w:left w:w="108" w:type="dxa"/>
        <w:right w:w="108" w:type="dxa"/>
      </w:tblCellMar>
    </w:tblPr>
  </w:style>
  <w:style w:type="paragraph" w:styleId="FootnoteText">
    <w:name w:val="footnote text"/>
    <w:basedOn w:val="Normal"/>
    <w:link w:val="FootnoteTextChar"/>
    <w:uiPriority w:val="99"/>
    <w:unhideWhenUsed/>
    <w:rsid w:val="00791B42"/>
    <w:rPr>
      <w:sz w:val="20"/>
      <w:szCs w:val="20"/>
    </w:rPr>
  </w:style>
  <w:style w:type="character" w:customStyle="1" w:styleId="FootnoteTextChar">
    <w:name w:val="Footnote Text Char"/>
    <w:basedOn w:val="DefaultParagraphFont"/>
    <w:link w:val="FootnoteText"/>
    <w:uiPriority w:val="99"/>
    <w:semiHidden/>
    <w:rsid w:val="00791B42"/>
    <w:rPr>
      <w:position w:val="-1"/>
      <w:sz w:val="20"/>
      <w:szCs w:val="20"/>
      <w:lang w:val="fr-CA" w:eastAsia="fr-CA"/>
    </w:rPr>
  </w:style>
  <w:style w:type="character" w:customStyle="1" w:styleId="Heading2Char">
    <w:name w:val="Heading 2 Char"/>
    <w:basedOn w:val="DefaultParagraphFont"/>
    <w:link w:val="Heading2"/>
    <w:uiPriority w:val="9"/>
    <w:rsid w:val="00C909D7"/>
    <w:rPr>
      <w:rFonts w:ascii="Arial" w:hAnsi="Arial"/>
      <w:bCs/>
      <w:iCs/>
      <w:position w:val="-1"/>
      <w:szCs w:val="28"/>
      <w:lang w:val="fr-CA" w:eastAsia="fr-CA"/>
    </w:rPr>
  </w:style>
  <w:style w:type="table" w:customStyle="1" w:styleId="a1">
    <w:basedOn w:val="TableNormal10"/>
    <w:tblPr>
      <w:tblStyleRowBandSize w:val="1"/>
      <w:tblStyleColBandSize w:val="1"/>
      <w:tblCellMar>
        <w:left w:w="108" w:type="dxa"/>
        <w:right w:w="108" w:type="dxa"/>
      </w:tblCellMar>
    </w:tblPr>
  </w:style>
  <w:style w:type="table" w:customStyle="1" w:styleId="a2">
    <w:basedOn w:val="TableNormal10"/>
    <w:tblPr>
      <w:tblStyleRowBandSize w:val="1"/>
      <w:tblStyleColBandSize w:val="1"/>
      <w:tblCellMar>
        <w:left w:w="108" w:type="dxa"/>
        <w:right w:w="108" w:type="dxa"/>
      </w:tblCellMar>
    </w:tblPr>
  </w:style>
  <w:style w:type="table" w:customStyle="1" w:styleId="a3">
    <w:basedOn w:val="TableNormal10"/>
    <w:tblPr>
      <w:tblStyleRowBandSize w:val="1"/>
      <w:tblStyleColBandSize w:val="1"/>
      <w:tblCellMar>
        <w:left w:w="108" w:type="dxa"/>
        <w:right w:w="108" w:type="dxa"/>
      </w:tblCellMar>
    </w:tblPr>
  </w:style>
  <w:style w:type="table" w:customStyle="1" w:styleId="a4">
    <w:basedOn w:val="TableNormal10"/>
    <w:tblPr>
      <w:tblStyleRowBandSize w:val="1"/>
      <w:tblStyleColBandSize w:val="1"/>
      <w:tblCellMar>
        <w:left w:w="108" w:type="dxa"/>
        <w:right w:w="108" w:type="dxa"/>
      </w:tblCellMar>
    </w:tblPr>
  </w:style>
  <w:style w:type="table" w:customStyle="1" w:styleId="a5">
    <w:basedOn w:val="TableNormal10"/>
    <w:tblPr>
      <w:tblStyleRowBandSize w:val="1"/>
      <w:tblStyleColBandSize w:val="1"/>
      <w:tblCellMar>
        <w:left w:w="108" w:type="dxa"/>
        <w:right w:w="108" w:type="dxa"/>
      </w:tblCellMar>
    </w:tblPr>
  </w:style>
  <w:style w:type="table" w:customStyle="1" w:styleId="a6">
    <w:basedOn w:val="TableNormal10"/>
    <w:tblPr>
      <w:tblStyleRowBandSize w:val="1"/>
      <w:tblStyleColBandSize w:val="1"/>
      <w:tblCellMar>
        <w:left w:w="108" w:type="dxa"/>
        <w:right w:w="108" w:type="dxa"/>
      </w:tblCellMar>
    </w:tblPr>
  </w:style>
  <w:style w:type="table" w:customStyle="1" w:styleId="a7">
    <w:basedOn w:val="TableNormal10"/>
    <w:tblPr>
      <w:tblStyleRowBandSize w:val="1"/>
      <w:tblStyleColBandSize w:val="1"/>
      <w:tblCellMar>
        <w:left w:w="108" w:type="dxa"/>
        <w:right w:w="108" w:type="dxa"/>
      </w:tblCellMar>
    </w:tblPr>
  </w:style>
  <w:style w:type="table" w:customStyle="1" w:styleId="a8">
    <w:basedOn w:val="TableNormal10"/>
    <w:tblPr>
      <w:tblStyleRowBandSize w:val="1"/>
      <w:tblStyleColBandSize w:val="1"/>
      <w:tblCellMar>
        <w:left w:w="108" w:type="dxa"/>
        <w:right w:w="108"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3">
    <w:basedOn w:val="TableNormal"/>
    <w:tblPr>
      <w:tblStyleRowBandSize w:val="1"/>
      <w:tblStyleColBandSize w:val="1"/>
      <w:tblCellMar>
        <w:left w:w="0" w:type="dxa"/>
        <w:right w:w="0" w:type="dxa"/>
      </w:tblCellMar>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spectrumauctions-encheresduspectre@ised-isde.gc.ca" TargetMode="Externa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2" Type="http://schemas.openxmlformats.org/officeDocument/2006/relationships/hyperlink" Target="mailto:telecom.regulatory@cogeco.com" TargetMode="External"/><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3229</Words>
  <Characters>18406</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2026-03-31T18:24:00Z</dcterms:created>
  <dcterms:modified xsi:type="dcterms:W3CDTF">2026-03-31T18:31:00Z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