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21C2A" w:rsidRDefault="008362DB">
      <w:pPr>
        <w:spacing w:line="276" w:lineRule="auto"/>
        <w:ind w:hanging="2"/>
        <w:rPr>
          <w:rFonts w:ascii="Arial" w:eastAsia="Arial" w:hAnsi="Arial" w:cs="Arial"/>
        </w:rPr>
      </w:pPr>
      <w:r>
        <w:rPr>
          <w:rFonts w:ascii="Arial" w:eastAsia="Arial" w:hAnsi="Arial" w:cs="Arial"/>
        </w:rPr>
        <w:t>28 April 2026</w:t>
      </w:r>
    </w:p>
    <w:p w:rsidR="00A21C2A" w:rsidRDefault="00A21C2A">
      <w:pPr>
        <w:spacing w:line="276" w:lineRule="auto"/>
        <w:ind w:hanging="2"/>
        <w:rPr>
          <w:rFonts w:ascii="Arial" w:eastAsia="Arial" w:hAnsi="Arial" w:cs="Arial"/>
        </w:rPr>
      </w:pPr>
    </w:p>
    <w:p w:rsidR="00A21C2A" w:rsidRDefault="008362DB">
      <w:pPr>
        <w:spacing w:line="276" w:lineRule="auto"/>
        <w:ind w:firstLine="0"/>
        <w:rPr>
          <w:rFonts w:ascii="Arial" w:eastAsia="Arial" w:hAnsi="Arial" w:cs="Arial"/>
        </w:rPr>
      </w:pPr>
      <w:r>
        <w:rPr>
          <w:rFonts w:ascii="Arial" w:eastAsia="Arial" w:hAnsi="Arial" w:cs="Arial"/>
        </w:rPr>
        <w:t>Senior Director</w:t>
      </w:r>
    </w:p>
    <w:p w:rsidR="00A21C2A" w:rsidRDefault="008362DB">
      <w:pPr>
        <w:spacing w:line="276" w:lineRule="auto"/>
        <w:ind w:hanging="2"/>
        <w:rPr>
          <w:rFonts w:ascii="Arial" w:eastAsia="Arial" w:hAnsi="Arial" w:cs="Arial"/>
        </w:rPr>
      </w:pPr>
      <w:r>
        <w:rPr>
          <w:rFonts w:ascii="Arial" w:eastAsia="Arial" w:hAnsi="Arial" w:cs="Arial"/>
        </w:rPr>
        <w:t>Regulatory Policy</w:t>
      </w:r>
    </w:p>
    <w:p w:rsidR="00A21C2A" w:rsidRDefault="008362DB">
      <w:pPr>
        <w:spacing w:line="276" w:lineRule="auto"/>
        <w:ind w:hanging="2"/>
        <w:rPr>
          <w:rFonts w:ascii="Arial" w:eastAsia="Arial" w:hAnsi="Arial" w:cs="Arial"/>
        </w:rPr>
      </w:pPr>
      <w:r>
        <w:rPr>
          <w:rFonts w:ascii="Arial" w:eastAsia="Arial" w:hAnsi="Arial" w:cs="Arial"/>
        </w:rPr>
        <w:t>Spectrum Licensing Policy Branch</w:t>
      </w:r>
    </w:p>
    <w:p w:rsidR="00A21C2A" w:rsidRDefault="008362DB">
      <w:pPr>
        <w:spacing w:line="276" w:lineRule="auto"/>
        <w:ind w:hanging="2"/>
        <w:rPr>
          <w:rFonts w:ascii="Arial" w:eastAsia="Arial" w:hAnsi="Arial" w:cs="Arial"/>
        </w:rPr>
      </w:pPr>
      <w:r>
        <w:rPr>
          <w:rFonts w:ascii="Arial" w:eastAsia="Arial" w:hAnsi="Arial" w:cs="Arial"/>
        </w:rPr>
        <w:t>Innovation, Science and Economic Development Canada</w:t>
      </w:r>
    </w:p>
    <w:p w:rsidR="00A21C2A" w:rsidRDefault="008362DB">
      <w:pPr>
        <w:spacing w:line="276" w:lineRule="auto"/>
        <w:ind w:hanging="2"/>
        <w:rPr>
          <w:rFonts w:ascii="Arial" w:eastAsia="Arial" w:hAnsi="Arial" w:cs="Arial"/>
        </w:rPr>
      </w:pPr>
      <w:r>
        <w:rPr>
          <w:rFonts w:ascii="Arial" w:eastAsia="Arial" w:hAnsi="Arial" w:cs="Arial"/>
        </w:rPr>
        <w:t>235 Queen Street, East Tower, 6th Floor</w:t>
      </w:r>
    </w:p>
    <w:p w:rsidR="00A21C2A" w:rsidRDefault="008362DB">
      <w:pPr>
        <w:spacing w:line="276" w:lineRule="auto"/>
        <w:ind w:hanging="2"/>
        <w:rPr>
          <w:rFonts w:ascii="Arial" w:eastAsia="Arial" w:hAnsi="Arial" w:cs="Arial"/>
        </w:rPr>
      </w:pPr>
      <w:r>
        <w:rPr>
          <w:rFonts w:ascii="Arial" w:eastAsia="Arial" w:hAnsi="Arial" w:cs="Arial"/>
        </w:rPr>
        <w:t>Ottawa, Ontario</w:t>
      </w:r>
    </w:p>
    <w:p w:rsidR="00A21C2A" w:rsidRDefault="008362DB">
      <w:pPr>
        <w:spacing w:line="276" w:lineRule="auto"/>
        <w:ind w:hanging="2"/>
        <w:rPr>
          <w:rFonts w:ascii="Arial" w:eastAsia="Arial" w:hAnsi="Arial" w:cs="Arial"/>
        </w:rPr>
      </w:pPr>
      <w:r>
        <w:rPr>
          <w:rFonts w:ascii="Arial" w:eastAsia="Arial" w:hAnsi="Arial" w:cs="Arial"/>
        </w:rPr>
        <w:t xml:space="preserve">K1A 0H5  </w:t>
      </w:r>
    </w:p>
    <w:p w:rsidR="00A21C2A" w:rsidRDefault="00A21C2A">
      <w:pPr>
        <w:spacing w:line="276" w:lineRule="auto"/>
        <w:ind w:hanging="2"/>
        <w:rPr>
          <w:rFonts w:ascii="Arial" w:eastAsia="Arial" w:hAnsi="Arial" w:cs="Arial"/>
        </w:rPr>
      </w:pPr>
    </w:p>
    <w:p w:rsidR="00A21C2A" w:rsidRDefault="008362DB">
      <w:pPr>
        <w:spacing w:line="276" w:lineRule="auto"/>
        <w:ind w:hanging="2"/>
        <w:rPr>
          <w:rFonts w:ascii="Arial" w:eastAsia="Arial" w:hAnsi="Arial" w:cs="Arial"/>
        </w:rPr>
      </w:pPr>
      <w:r>
        <w:rPr>
          <w:rFonts w:ascii="Arial" w:eastAsia="Arial" w:hAnsi="Arial" w:cs="Arial"/>
        </w:rPr>
        <w:t xml:space="preserve">By e-mail: </w:t>
      </w:r>
      <w:bookmarkStart w:id="0" w:name="_GoBack"/>
      <w:r>
        <w:fldChar w:fldCharType="begin"/>
      </w:r>
      <w:r>
        <w:instrText xml:space="preserve"> HYPERLINK "mailto:spectrumauctions-encheresduspectre@ised-isde.gc.ca" \h </w:instrText>
      </w:r>
      <w:r>
        <w:fldChar w:fldCharType="separate"/>
      </w:r>
      <w:r>
        <w:rPr>
          <w:rFonts w:ascii="Arial" w:eastAsia="Arial" w:hAnsi="Arial" w:cs="Arial"/>
          <w:color w:val="1155CC"/>
          <w:u w:val="single"/>
        </w:rPr>
        <w:t>spectrumauctions-encheresduspectre@ised-isde.gc.ca</w:t>
      </w:r>
      <w:r>
        <w:rPr>
          <w:rFonts w:ascii="Arial" w:eastAsia="Arial" w:hAnsi="Arial" w:cs="Arial"/>
          <w:color w:val="1155CC"/>
          <w:u w:val="single"/>
        </w:rPr>
        <w:fldChar w:fldCharType="end"/>
      </w:r>
      <w:bookmarkEnd w:id="0"/>
      <w:r>
        <w:rPr>
          <w:rFonts w:ascii="Arial" w:eastAsia="Arial" w:hAnsi="Arial" w:cs="Arial"/>
        </w:rPr>
        <w:t xml:space="preserve"> </w:t>
      </w:r>
    </w:p>
    <w:p w:rsidR="00A21C2A" w:rsidRDefault="00A21C2A">
      <w:pPr>
        <w:spacing w:line="276" w:lineRule="auto"/>
        <w:ind w:hanging="2"/>
        <w:rPr>
          <w:rFonts w:ascii="Arial" w:eastAsia="Arial" w:hAnsi="Arial" w:cs="Arial"/>
        </w:rPr>
      </w:pPr>
    </w:p>
    <w:p w:rsidR="00A21C2A" w:rsidRDefault="008362DB" w:rsidP="00D65C08">
      <w:pPr>
        <w:spacing w:after="120"/>
        <w:ind w:hanging="2"/>
        <w:jc w:val="both"/>
        <w:rPr>
          <w:rFonts w:ascii="Arial" w:eastAsia="Arial" w:hAnsi="Arial" w:cs="Arial"/>
          <w:b/>
          <w:bCs/>
        </w:rPr>
      </w:pPr>
      <w:r>
        <w:rPr>
          <w:rFonts w:ascii="Arial" w:eastAsia="Arial" w:hAnsi="Arial" w:cs="Arial"/>
          <w:b/>
          <w:bCs/>
        </w:rPr>
        <w:t xml:space="preserve">Re: Cogeco Reply Comments - Gazette Notice, Part I, February 14, 2026, Notice No. SPB-002-26 - Consultation on the Revisions to </w:t>
      </w:r>
      <w:r>
        <w:rPr>
          <w:rFonts w:ascii="Arial" w:eastAsia="Arial" w:hAnsi="Arial" w:cs="Arial"/>
          <w:b/>
          <w:bCs/>
        </w:rPr>
        <w:t>the 2500-2690 MHz Band Pla</w:t>
      </w:r>
      <w:r>
        <w:rPr>
          <w:rFonts w:ascii="Arial" w:eastAsia="Arial" w:hAnsi="Arial" w:cs="Arial"/>
          <w:b/>
          <w:bCs/>
        </w:rPr>
        <w:t>n</w:t>
      </w:r>
      <w:r w:rsidR="00D65C08">
        <w:pict>
          <v:rect id="_x0000_i1029" style="width:0;height:1.5pt" o:hralign="center" o:hrstd="t" o:hr="t" fillcolor="#a0a0a0" stroked="f"/>
        </w:pict>
      </w:r>
    </w:p>
    <w:p w:rsidR="00D65C08" w:rsidRDefault="00D65C08">
      <w:pPr>
        <w:spacing w:after="120"/>
        <w:ind w:hanging="2"/>
        <w:jc w:val="both"/>
        <w:rPr>
          <w:rFonts w:ascii="Arial" w:eastAsia="Arial" w:hAnsi="Arial" w:cs="Arial"/>
        </w:rPr>
      </w:pPr>
    </w:p>
    <w:p w:rsidR="00A21C2A" w:rsidRDefault="008362DB">
      <w:pPr>
        <w:spacing w:after="120"/>
        <w:ind w:hanging="2"/>
        <w:jc w:val="both"/>
        <w:rPr>
          <w:rFonts w:ascii="Arial" w:eastAsia="Arial" w:hAnsi="Arial" w:cs="Arial"/>
        </w:rPr>
      </w:pPr>
      <w:r>
        <w:rPr>
          <w:rFonts w:ascii="Arial" w:eastAsia="Arial" w:hAnsi="Arial" w:cs="Arial"/>
        </w:rPr>
        <w:t xml:space="preserve">Cogeco Communications Inc., on behalf of Cogeco Connexion Inc. (“Cogeco”), </w:t>
      </w:r>
      <w:r>
        <w:rPr>
          <w:rFonts w:ascii="Arial" w:eastAsia="Arial" w:hAnsi="Arial" w:cs="Arial"/>
        </w:rPr>
        <w:t>hereby submits the attached reply comments to Innovation, Science and Economic Development Canada in response to the above-noted consultation</w:t>
      </w:r>
      <w:r>
        <w:rPr>
          <w:rFonts w:ascii="Arial" w:eastAsia="Arial" w:hAnsi="Arial" w:cs="Arial"/>
        </w:rPr>
        <w:t>.</w:t>
      </w:r>
    </w:p>
    <w:p w:rsidR="00A21C2A" w:rsidRDefault="00A21C2A">
      <w:pPr>
        <w:spacing w:after="120"/>
        <w:ind w:hanging="2"/>
        <w:jc w:val="both"/>
        <w:rPr>
          <w:rFonts w:ascii="Arial" w:eastAsia="Arial" w:hAnsi="Arial" w:cs="Arial"/>
        </w:rPr>
      </w:pPr>
    </w:p>
    <w:p w:rsidR="00A21C2A" w:rsidRDefault="008362DB">
      <w:pPr>
        <w:spacing w:after="120"/>
        <w:ind w:hanging="2"/>
        <w:jc w:val="both"/>
        <w:rPr>
          <w:rFonts w:ascii="Arial" w:eastAsia="Arial" w:hAnsi="Arial" w:cs="Arial"/>
        </w:rPr>
      </w:pPr>
      <w:r>
        <w:rPr>
          <w:rFonts w:ascii="Arial" w:eastAsia="Arial" w:hAnsi="Arial" w:cs="Arial"/>
        </w:rPr>
        <w:t xml:space="preserve">Yours </w:t>
      </w:r>
      <w:r>
        <w:rPr>
          <w:rFonts w:ascii="Arial" w:eastAsia="Arial" w:hAnsi="Arial" w:cs="Arial"/>
        </w:rPr>
        <w:t>truly,</w:t>
      </w:r>
    </w:p>
    <w:p w:rsidR="00A21C2A" w:rsidRDefault="008362DB">
      <w:pPr>
        <w:spacing w:line="276" w:lineRule="auto"/>
        <w:ind w:hanging="2"/>
        <w:jc w:val="both"/>
        <w:rPr>
          <w:rFonts w:ascii="Arial" w:eastAsia="Arial" w:hAnsi="Arial" w:cs="Arial"/>
        </w:rPr>
      </w:pPr>
      <w:r>
        <w:rPr>
          <w:noProof/>
        </w:rPr>
        <w:drawing>
          <wp:inline distT="0" distB="0" distL="0" distR="0">
            <wp:extent cx="1905635" cy="66294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905635" cy="662940"/>
                    </a:xfrm>
                    <a:prstGeom prst="rect">
                      <a:avLst/>
                    </a:prstGeom>
                    <a:ln/>
                  </pic:spPr>
                </pic:pic>
              </a:graphicData>
            </a:graphic>
          </wp:inline>
        </w:drawing>
      </w:r>
    </w:p>
    <w:p w:rsidR="00A21C2A" w:rsidRDefault="008362DB">
      <w:pPr>
        <w:spacing w:line="276" w:lineRule="auto"/>
        <w:ind w:hanging="2"/>
        <w:rPr>
          <w:rFonts w:ascii="Arial" w:eastAsia="Arial" w:hAnsi="Arial" w:cs="Arial"/>
        </w:rPr>
      </w:pPr>
      <w:r>
        <w:rPr>
          <w:rFonts w:ascii="Arial" w:eastAsia="Arial" w:hAnsi="Arial" w:cs="Arial"/>
        </w:rPr>
        <w:t>Paul Beaudry</w:t>
      </w:r>
    </w:p>
    <w:p w:rsidR="00A21C2A" w:rsidRDefault="008362DB">
      <w:pPr>
        <w:spacing w:line="276" w:lineRule="auto"/>
        <w:ind w:hanging="2"/>
        <w:rPr>
          <w:rFonts w:ascii="Arial" w:eastAsia="Arial" w:hAnsi="Arial" w:cs="Arial"/>
        </w:rPr>
      </w:pPr>
      <w:r>
        <w:rPr>
          <w:rFonts w:ascii="Arial" w:eastAsia="Arial" w:hAnsi="Arial" w:cs="Arial"/>
        </w:rPr>
        <w:t>Vice President, Regulatory and Corporate Affairs</w:t>
      </w:r>
    </w:p>
    <w:p w:rsidR="00A21C2A" w:rsidRDefault="008362DB">
      <w:pPr>
        <w:spacing w:line="276" w:lineRule="auto"/>
        <w:ind w:hanging="2"/>
        <w:rPr>
          <w:rFonts w:ascii="Arial" w:eastAsia="Arial" w:hAnsi="Arial" w:cs="Arial"/>
          <w:i/>
          <w:iCs/>
          <w:sz w:val="22"/>
          <w:szCs w:val="22"/>
        </w:rPr>
      </w:pPr>
      <w:r>
        <w:rPr>
          <w:rFonts w:ascii="Arial" w:eastAsia="Arial" w:hAnsi="Arial" w:cs="Arial"/>
          <w:i/>
          <w:iCs/>
          <w:sz w:val="22"/>
          <w:szCs w:val="22"/>
        </w:rPr>
        <w:t>/NJ</w:t>
      </w:r>
    </w:p>
    <w:p w:rsidR="00A21C2A" w:rsidRDefault="00A21C2A">
      <w:pPr>
        <w:spacing w:line="276" w:lineRule="auto"/>
        <w:ind w:hanging="2"/>
        <w:rPr>
          <w:rFonts w:ascii="Arial" w:eastAsia="Arial" w:hAnsi="Arial" w:cs="Arial"/>
        </w:rPr>
      </w:pPr>
    </w:p>
    <w:p w:rsidR="00A21C2A" w:rsidRDefault="00A21C2A">
      <w:pPr>
        <w:tabs>
          <w:tab w:val="left" w:pos="567"/>
        </w:tabs>
        <w:spacing w:line="276" w:lineRule="auto"/>
        <w:ind w:hanging="2"/>
        <w:rPr>
          <w:rFonts w:ascii="Arial" w:eastAsia="Arial" w:hAnsi="Arial" w:cs="Arial"/>
          <w:sz w:val="20"/>
          <w:szCs w:val="20"/>
        </w:rPr>
      </w:pPr>
    </w:p>
    <w:p w:rsidR="00A21C2A" w:rsidRDefault="00A21C2A">
      <w:pPr>
        <w:tabs>
          <w:tab w:val="left" w:pos="567"/>
        </w:tabs>
        <w:spacing w:line="276" w:lineRule="auto"/>
        <w:ind w:hanging="2"/>
        <w:rPr>
          <w:rFonts w:ascii="Arial" w:eastAsia="Arial" w:hAnsi="Arial" w:cs="Arial"/>
          <w:sz w:val="20"/>
          <w:szCs w:val="20"/>
        </w:rPr>
      </w:pPr>
    </w:p>
    <w:p w:rsidR="00A21C2A" w:rsidRDefault="008362DB">
      <w:pPr>
        <w:rPr>
          <w:rFonts w:ascii="Arial" w:eastAsia="Arial" w:hAnsi="Arial" w:cs="Arial"/>
          <w:sz w:val="20"/>
          <w:szCs w:val="20"/>
        </w:rPr>
      </w:pPr>
      <w:r>
        <w:br w:type="page"/>
      </w:r>
    </w:p>
    <w:p w:rsidR="00A21C2A" w:rsidRDefault="008362DB">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noProof/>
        </w:rPr>
        <w:lastRenderedPageBreak/>
        <mc:AlternateContent>
          <mc:Choice Requires="wps">
            <w:drawing>
              <wp:anchor distT="0" distB="0" distL="0" distR="0" simplePos="0" relativeHeight="251658240" behindDoc="1" locked="0" layoutInCell="1" hidden="0" allowOverlap="1">
                <wp:simplePos x="0" y="0"/>
                <wp:positionH relativeFrom="column">
                  <wp:posOffset>-66040</wp:posOffset>
                </wp:positionH>
                <wp:positionV relativeFrom="paragraph">
                  <wp:posOffset>-219075</wp:posOffset>
                </wp:positionV>
                <wp:extent cx="5915025" cy="8126146"/>
                <wp:effectExtent l="0" t="0" r="0" b="0"/>
                <wp:wrapNone/>
                <wp:docPr id="1" name=""/>
                <wp:cNvGraphicFramePr/>
                <a:graphic xmlns:a="http://schemas.openxmlformats.org/drawingml/2006/main">
                  <a:graphicData uri="http://schemas.microsoft.com/office/word/2010/wordprocessingShape">
                    <wps:wsp>
                      <wps:cNvSpPr/>
                      <wps:spPr>
                        <a:xfrm>
                          <a:off x="0" y="0"/>
                          <a:ext cx="5915025" cy="8126146"/>
                        </a:xfrm>
                        <a:prstGeom prst="rect">
                          <a:avLst/>
                        </a:prstGeom>
                        <a:noFill/>
                        <a:ln w="28575" cap="flat" cmpd="sng">
                          <a:solidFill>
                            <a:srgbClr val="000000"/>
                          </a:solidFill>
                          <a:prstDash val="solid"/>
                          <a:round/>
                          <a:headEnd type="none" w="sm" len="sm"/>
                          <a:tailEnd type="none" w="sm" len="sm"/>
                        </a:ln>
                      </wps:spPr>
                      <wps:txbx>
                        <w:txbxContent>
                          <w:p w:rsidR="00A21C2A" w:rsidRDefault="00A21C2A">
                            <w:pPr>
                              <w:ind w:firstLine="0"/>
                              <w:jc w:val="center"/>
                              <w:textDirection w:val="btLr"/>
                            </w:pPr>
                          </w:p>
                        </w:txbxContent>
                      </wps:txbx>
                      <wps:bodyPr spcFirstLastPara="1" wrap="square" lIns="91425" tIns="91425" rIns="91425" bIns="91425" anchor="ctr" anchorCtr="0">
                        <a:noAutofit/>
                      </wps:bodyPr>
                    </wps:wsp>
                  </a:graphicData>
                </a:graphic>
              </wp:anchor>
            </w:drawing>
          </mc:Choice>
          <mc:Fallback>
            <w:pict>
              <v:rect id="_x0000_s1026" style="position:absolute;left:0;text-align:left;margin-left:-5.2pt;margin-top:-17.25pt;width:465.75pt;height:639.85pt;z-index:-25165824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" filled="f" strokeweight="2.25pt">
                <v:stroke startarrowwidth="narrow" startarrowlength="short" endarrowwidth="narrow" endarrowlength="short" joinstyle="round"/>
                <v:textbox inset="2.53958mm,2.53958mm,2.53958mm,2.53958mm">
                  <w:txbxContent>
                    <w:p w:rsidR="00A21C2A" w:rsidRDefault="00A21C2A">
                      <w:pPr>
                        <w:ind w:firstLine="0"/>
                        <w:jc w:val="center"/>
                        <w:textDirection w:val="btLr"/>
                      </w:pPr>
                    </w:p>
                  </w:txbxContent>
                </v:textbox>
              </v:rect>
            </w:pict>
          </mc:Fallback>
        </mc:AlternateContent>
      </w:r>
    </w:p>
    <w:p w:rsidR="00A21C2A" w:rsidRDefault="008362DB">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CANADA GAZETTE NOTICE NO. SPB-002-26</w:t>
      </w: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8362DB">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CONSULTATION ON THE REVISIONS TO THE 2500-2690 MHZ BAND PLAN</w:t>
      </w: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8362DB">
      <w:pPr>
        <w:pBdr>
          <w:top w:val="nil"/>
          <w:left w:val="nil"/>
          <w:bottom w:val="nil"/>
          <w:right w:val="nil"/>
          <w:between w:val="nil"/>
        </w:pBdr>
        <w:tabs>
          <w:tab w:val="left" w:pos="540"/>
        </w:tabs>
        <w:spacing w:after="240" w:line="276" w:lineRule="auto"/>
        <w:ind w:hanging="2"/>
        <w:jc w:val="center"/>
        <w:rPr>
          <w:rFonts w:ascii="Arial" w:eastAsia="Arial" w:hAnsi="Arial" w:cs="Arial"/>
          <w:b/>
          <w:bCs/>
          <w:i/>
          <w:iCs/>
        </w:rPr>
      </w:pPr>
      <w:r>
        <w:rPr>
          <w:rFonts w:ascii="Arial" w:eastAsia="Arial" w:hAnsi="Arial" w:cs="Arial"/>
          <w:b/>
          <w:bCs/>
        </w:rPr>
        <w:t xml:space="preserve">PUBLISHED IN THE </w:t>
      </w:r>
      <w:r>
        <w:rPr>
          <w:rFonts w:ascii="Arial" w:eastAsia="Arial" w:hAnsi="Arial" w:cs="Arial"/>
          <w:b/>
          <w:bCs/>
          <w:i/>
          <w:iCs/>
        </w:rPr>
        <w:t>CANADA GAZETTE, PART 1</w:t>
      </w:r>
    </w:p>
    <w:p w:rsidR="00A21C2A" w:rsidRDefault="008362DB">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ON 14 FEBRUARY 2026</w:t>
      </w: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8362DB">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 xml:space="preserve">REPLY COMMENTS </w:t>
      </w:r>
    </w:p>
    <w:p w:rsidR="00A21C2A" w:rsidRDefault="008362DB">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 xml:space="preserve">OF </w:t>
      </w:r>
    </w:p>
    <w:p w:rsidR="00A21C2A" w:rsidRDefault="008362DB">
      <w:pPr>
        <w:pBdr>
          <w:top w:val="nil"/>
          <w:left w:val="nil"/>
          <w:bottom w:val="nil"/>
          <w:right w:val="nil"/>
          <w:between w:val="nil"/>
        </w:pBdr>
        <w:tabs>
          <w:tab w:val="left" w:pos="540"/>
        </w:tabs>
        <w:spacing w:after="240" w:line="276" w:lineRule="auto"/>
        <w:ind w:hanging="2"/>
        <w:jc w:val="center"/>
        <w:rPr>
          <w:rFonts w:ascii="Arial" w:eastAsia="Arial" w:hAnsi="Arial" w:cs="Arial"/>
          <w:b/>
          <w:bCs/>
        </w:rPr>
      </w:pPr>
      <w:r>
        <w:rPr>
          <w:rFonts w:ascii="Arial" w:eastAsia="Arial" w:hAnsi="Arial" w:cs="Arial"/>
          <w:b/>
          <w:bCs/>
        </w:rPr>
        <w:t>COGECO COMMUNICATIONS INC.</w:t>
      </w: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A21C2A">
      <w:pPr>
        <w:pBdr>
          <w:top w:val="nil"/>
          <w:left w:val="nil"/>
          <w:bottom w:val="nil"/>
          <w:right w:val="nil"/>
          <w:between w:val="nil"/>
        </w:pBdr>
        <w:tabs>
          <w:tab w:val="left" w:pos="540"/>
        </w:tabs>
        <w:spacing w:after="240" w:line="276" w:lineRule="auto"/>
        <w:ind w:hanging="2"/>
        <w:rPr>
          <w:rFonts w:ascii="Arial" w:eastAsia="Arial" w:hAnsi="Arial" w:cs="Arial"/>
          <w:b/>
          <w:bCs/>
        </w:rPr>
      </w:pPr>
    </w:p>
    <w:p w:rsidR="00A21C2A" w:rsidRDefault="00A21C2A">
      <w:pPr>
        <w:pBdr>
          <w:top w:val="nil"/>
          <w:left w:val="nil"/>
          <w:bottom w:val="nil"/>
          <w:right w:val="nil"/>
          <w:between w:val="nil"/>
        </w:pBdr>
        <w:tabs>
          <w:tab w:val="left" w:pos="540"/>
        </w:tabs>
        <w:spacing w:after="240" w:line="276" w:lineRule="auto"/>
        <w:ind w:hanging="2"/>
        <w:jc w:val="center"/>
        <w:rPr>
          <w:rFonts w:ascii="Arial" w:eastAsia="Arial" w:hAnsi="Arial" w:cs="Arial"/>
          <w:b/>
          <w:bCs/>
        </w:rPr>
      </w:pPr>
    </w:p>
    <w:p w:rsidR="00A21C2A" w:rsidRDefault="008362DB">
      <w:pPr>
        <w:pBdr>
          <w:top w:val="nil"/>
          <w:left w:val="nil"/>
          <w:bottom w:val="nil"/>
          <w:right w:val="nil"/>
          <w:between w:val="nil"/>
        </w:pBdr>
        <w:tabs>
          <w:tab w:val="left" w:pos="540"/>
        </w:tabs>
        <w:spacing w:after="240" w:line="276" w:lineRule="auto"/>
        <w:ind w:hanging="2"/>
        <w:jc w:val="center"/>
        <w:rPr>
          <w:rFonts w:ascii="Arial" w:eastAsia="Arial" w:hAnsi="Arial" w:cs="Arial"/>
          <w:b/>
          <w:bCs/>
        </w:rPr>
        <w:sectPr w:rsidR="00A21C2A">
          <w:headerReference w:type="even" r:id="rId9"/>
          <w:headerReference w:type="default" r:id="rId10"/>
          <w:footerReference w:type="even" r:id="rId11"/>
          <w:footerReference w:type="default" r:id="rId12"/>
          <w:headerReference w:type="first" r:id="rId13"/>
          <w:footerReference w:type="first" r:id="rId14"/>
          <w:pgSz w:w="12240" w:h="15840"/>
          <w:pgMar w:top="1418" w:right="1418" w:bottom="1418" w:left="1890" w:header="720" w:footer="720" w:gutter="0"/>
          <w:pgNumType w:start="1"/>
          <w:cols w:space="720"/>
          <w:titlePg/>
        </w:sectPr>
      </w:pPr>
      <w:r>
        <w:rPr>
          <w:rFonts w:ascii="Arial" w:eastAsia="Arial" w:hAnsi="Arial" w:cs="Arial"/>
          <w:b/>
          <w:bCs/>
        </w:rPr>
        <w:t>28 APRIL 2026</w:t>
      </w:r>
    </w:p>
    <w:p w:rsidR="00A21C2A" w:rsidRDefault="008362DB">
      <w:pPr>
        <w:widowControl w:val="0"/>
        <w:numPr>
          <w:ilvl w:val="0"/>
          <w:numId w:val="1"/>
        </w:numPr>
        <w:pBdr>
          <w:top w:val="nil"/>
          <w:left w:val="nil"/>
          <w:bottom w:val="nil"/>
          <w:right w:val="nil"/>
          <w:between w:val="nil"/>
        </w:pBdr>
        <w:spacing w:after="200" w:line="276" w:lineRule="auto"/>
        <w:ind w:left="0"/>
        <w:jc w:val="both"/>
        <w:rPr>
          <w:rFonts w:ascii="Arial" w:eastAsia="Arial" w:hAnsi="Arial" w:cs="Arial"/>
          <w:b/>
          <w:bCs/>
        </w:rPr>
      </w:pPr>
      <w:r>
        <w:rPr>
          <w:rFonts w:ascii="Arial" w:eastAsia="Arial" w:hAnsi="Arial" w:cs="Arial"/>
          <w:b/>
          <w:bCs/>
        </w:rPr>
        <w:lastRenderedPageBreak/>
        <w:t>INTRODUCTION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 xml:space="preserve">In Cogeco’s initial comments on this consultation, we voiced our support for Industry, Science and Economic Development Canada’s (“ISED’s” or the “Department’s”) proposal to modernize the 2500 MHz band plan and begin the </w:t>
      </w:r>
      <w:r>
        <w:rPr>
          <w:rFonts w:ascii="Arial" w:eastAsia="Arial" w:hAnsi="Arial" w:cs="Arial"/>
        </w:rPr>
        <w:t>transition process in 2028. We pro</w:t>
      </w:r>
      <w:r>
        <w:rPr>
          <w:rFonts w:ascii="Arial" w:eastAsia="Arial" w:hAnsi="Arial" w:cs="Arial"/>
        </w:rPr>
        <w:t>posed a flexible framework characterized by relaxed deployment obligations and a staggered, three-region transition schedule, featuring a unified cut-over date for each geographical zone. Cogeco maintains that this approach is essential for maximizing oper</w:t>
      </w:r>
      <w:r>
        <w:rPr>
          <w:rFonts w:ascii="Arial" w:eastAsia="Arial" w:hAnsi="Arial" w:cs="Arial"/>
        </w:rPr>
        <w:t>ational efficiency and to best utilize 2500 MHz spectrum to the benefit of all Canadians. We continue to urge the Department to safeguard the interests of regional competitors by offering targeted regulatory relief; specifically, ISED should implement an i</w:t>
      </w:r>
      <w:r>
        <w:rPr>
          <w:rFonts w:ascii="Arial" w:eastAsia="Arial" w:hAnsi="Arial" w:cs="Arial"/>
        </w:rPr>
        <w:t>mmediate suspension on all existing and upcoming Band 7 and Band 38 deployment requirements until the transition is fully realized, ensuring that investment is not diverted to outdated network configurations.</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Cogeco’s position reflects a broader industry c</w:t>
      </w:r>
      <w:r>
        <w:rPr>
          <w:rFonts w:ascii="Arial" w:eastAsia="Arial" w:hAnsi="Arial" w:cs="Arial"/>
        </w:rPr>
        <w:t>onsensus that scarce capital must be protected from inefficient, compliance-driven spending on legacy deployments. By pausing deployment requirements, ISED would empower carriers to redirect their technical and financial resources toward the strategic, lon</w:t>
      </w:r>
      <w:r>
        <w:rPr>
          <w:rFonts w:ascii="Arial" w:eastAsia="Arial" w:hAnsi="Arial" w:cs="Arial"/>
        </w:rPr>
        <w:t>g-term deployment of 5G infrastructure. Such an approach ensures that future builds are fully optimized for the new band plan, ultimately accelerating the availability of advanced mobile services for all Canadians while supporting a more competitive and su</w:t>
      </w:r>
      <w:r>
        <w:rPr>
          <w:rFonts w:ascii="Arial" w:eastAsia="Arial" w:hAnsi="Arial" w:cs="Arial"/>
        </w:rPr>
        <w:t>stainable telecommunications landscape.</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 xml:space="preserve">The following reply comments address </w:t>
      </w:r>
      <w:r>
        <w:rPr>
          <w:rFonts w:ascii="Arial" w:eastAsia="Arial" w:hAnsi="Arial" w:cs="Arial"/>
        </w:rPr>
        <w:t>technical and policy arguments raised by other stakeholders during this process. While we have focused on the most critical issues raised during the initial comment phase, our de</w:t>
      </w:r>
      <w:r>
        <w:rPr>
          <w:rFonts w:ascii="Arial" w:eastAsia="Arial" w:hAnsi="Arial" w:cs="Arial"/>
        </w:rPr>
        <w:t xml:space="preserve">cision not to address any specific point or submission from another party should not be interpreted as an endorsement of that position. </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By adopting Cogeco’s recommendations, ISED will not only achieve its core policy objectives but also establish a regula</w:t>
      </w:r>
      <w:r>
        <w:rPr>
          <w:rFonts w:ascii="Arial" w:eastAsia="Arial" w:hAnsi="Arial" w:cs="Arial"/>
        </w:rPr>
        <w:t>tory framework that encourages innovation and healthy competition. This balanced approach acknowledges the financial realities of network operators while paving the way for the full potential of mid-band spectrum to be realized for the benefit of all Canad</w:t>
      </w:r>
      <w:r>
        <w:rPr>
          <w:rFonts w:ascii="Arial" w:eastAsia="Arial" w:hAnsi="Arial" w:cs="Arial"/>
        </w:rPr>
        <w:t>ians.</w:t>
      </w:r>
    </w:p>
    <w:p w:rsidR="00A21C2A" w:rsidRDefault="00A21C2A">
      <w:pPr>
        <w:spacing w:after="120"/>
        <w:ind w:hanging="2"/>
        <w:jc w:val="both"/>
        <w:rPr>
          <w:rFonts w:ascii="Arial" w:eastAsia="Arial" w:hAnsi="Arial" w:cs="Arial"/>
          <w:b/>
          <w:bCs/>
        </w:rPr>
      </w:pPr>
    </w:p>
    <w:p w:rsidR="00A21C2A" w:rsidRDefault="008362DB">
      <w:pPr>
        <w:widowControl w:val="0"/>
        <w:numPr>
          <w:ilvl w:val="0"/>
          <w:numId w:val="1"/>
        </w:numPr>
        <w:pBdr>
          <w:top w:val="nil"/>
          <w:left w:val="nil"/>
          <w:bottom w:val="nil"/>
          <w:right w:val="nil"/>
          <w:between w:val="nil"/>
        </w:pBdr>
        <w:spacing w:after="200" w:line="276" w:lineRule="auto"/>
        <w:ind w:left="0"/>
        <w:jc w:val="both"/>
        <w:rPr>
          <w:rFonts w:ascii="Arial" w:eastAsia="Arial" w:hAnsi="Arial" w:cs="Arial"/>
          <w:b/>
          <w:bCs/>
        </w:rPr>
      </w:pPr>
      <w:r>
        <w:rPr>
          <w:rFonts w:ascii="Arial" w:eastAsia="Arial" w:hAnsi="Arial" w:cs="Arial"/>
          <w:b/>
          <w:bCs/>
        </w:rPr>
        <w:t>THE NEW 2500 MHZ BAND PLAN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In addressing Question 1 of the Consultation, Cogeco endorsed ISED’s proposal to restructure the 2500</w:t>
      </w:r>
      <w:r>
        <w:rPr>
          <w:rFonts w:ascii="Arial" w:eastAsia="Arial" w:hAnsi="Arial" w:cs="Arial"/>
        </w:rPr>
        <w:t xml:space="preserve">-2690 MHz band into a unified, unpaired Time Division </w:t>
      </w:r>
      <w:r>
        <w:rPr>
          <w:rFonts w:ascii="Arial" w:eastAsia="Arial" w:hAnsi="Arial" w:cs="Arial"/>
        </w:rPr>
        <w:lastRenderedPageBreak/>
        <w:t>Duplex (“TDD”) configuration. This new band plan is critical for aligning Canada’s spectrum usage with U.S. standards and global equipment ecosystems. We believe that moving away from the current fragme</w:t>
      </w:r>
      <w:r>
        <w:rPr>
          <w:rFonts w:ascii="Arial" w:eastAsia="Arial" w:hAnsi="Arial" w:cs="Arial"/>
        </w:rPr>
        <w:t>nted Frequency Division Duplex (“FDD”) and TDD mix will unlock significant capacity and improve the spectral efficiency of the band, providing a more robust foundation for the high-bandwidth requirements of 5G and beyond technologies.</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The record shows near</w:t>
      </w:r>
      <w:r>
        <w:rPr>
          <w:rFonts w:ascii="Arial" w:eastAsia="Arial" w:hAnsi="Arial" w:cs="Arial"/>
        </w:rPr>
        <w:t>ly universal industry support for this transition, with 11 out of 12 commenters</w:t>
      </w:r>
      <w:r>
        <w:rPr>
          <w:rFonts w:ascii="Arial" w:eastAsia="Arial" w:hAnsi="Arial" w:cs="Arial"/>
          <w:vertAlign w:val="superscript"/>
        </w:rPr>
        <w:footnoteReference w:id="1"/>
      </w:r>
      <w:r>
        <w:rPr>
          <w:rFonts w:ascii="Arial" w:eastAsia="Arial" w:hAnsi="Arial" w:cs="Arial"/>
        </w:rPr>
        <w:t xml:space="preserve"> supporting the move to an unpaired TDD band plan. This overwhelming majority highlights a shared understanding of the benefits associated with adopting Band 41. As Bell Mobili</w:t>
      </w:r>
      <w:r>
        <w:rPr>
          <w:rFonts w:ascii="Arial" w:eastAsia="Arial" w:hAnsi="Arial" w:cs="Arial"/>
        </w:rPr>
        <w:t>ty Inc. (“Bell”) correctly argues, aligning our spectrum with the United States while enabling dynamic timeslot allocation and synchronized TDD operations will allow operators to squeeze maximum value out of this mid-band spectrum.</w:t>
      </w:r>
      <w:r>
        <w:rPr>
          <w:rFonts w:ascii="Arial" w:eastAsia="Arial" w:hAnsi="Arial" w:cs="Arial"/>
          <w:vertAlign w:val="superscript"/>
        </w:rPr>
        <w:footnoteReference w:id="2"/>
      </w:r>
      <w:r>
        <w:rPr>
          <w:rFonts w:ascii="Arial" w:eastAsia="Arial" w:hAnsi="Arial" w:cs="Arial"/>
        </w:rPr>
        <w:t xml:space="preserve"> This synchronization is</w:t>
      </w:r>
      <w:r>
        <w:rPr>
          <w:rFonts w:ascii="Arial" w:eastAsia="Arial" w:hAnsi="Arial" w:cs="Arial"/>
        </w:rPr>
        <w:t xml:space="preserve"> particularly vital for mitigating interference and ensuring seamless connectivity along the Canada-USA border, an area of the country where the majority of Canadians live.</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While Bragg Communications Inc., operating as Eastlink (“Eastlink”), opposes the pr</w:t>
      </w:r>
      <w:r>
        <w:rPr>
          <w:rFonts w:ascii="Arial" w:eastAsia="Arial" w:hAnsi="Arial" w:cs="Arial"/>
        </w:rPr>
        <w:t>oposed band plan “due to the substantial operational, financial, and investment impacts on operators,”</w:t>
      </w:r>
      <w:r>
        <w:rPr>
          <w:rFonts w:ascii="Arial" w:eastAsia="Arial" w:hAnsi="Arial" w:cs="Arial"/>
          <w:vertAlign w:val="superscript"/>
        </w:rPr>
        <w:footnoteReference w:id="3"/>
      </w:r>
      <w:r>
        <w:rPr>
          <w:rFonts w:ascii="Arial" w:eastAsia="Arial" w:hAnsi="Arial" w:cs="Arial"/>
        </w:rPr>
        <w:t xml:space="preserve"> Cogeco believes such concerns can be mitigated or even eliminated by the implementation of a reasonable grace period for deployment obligations. The nat</w:t>
      </w:r>
      <w:r>
        <w:rPr>
          <w:rFonts w:ascii="Arial" w:eastAsia="Arial" w:hAnsi="Arial" w:cs="Arial"/>
        </w:rPr>
        <w:t>ural lifecycle of network hardware, characterized by gradual attrition and systematic upgrades, will facilitate a straightforward and cost-effective equipment replacement cycle, thereby alleviating any significant transition challenges.</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Furthermore, invest</w:t>
      </w:r>
      <w:r>
        <w:rPr>
          <w:rFonts w:ascii="Arial" w:eastAsia="Arial" w:hAnsi="Arial" w:cs="Arial"/>
        </w:rPr>
        <w:t>ment in Band 41 is becoming increasingly important globally, “GSA’s December report identified the n41 band as the second most widely used 5G band worldwide.”</w:t>
      </w:r>
      <w:r>
        <w:rPr>
          <w:rFonts w:ascii="Arial" w:eastAsia="Arial" w:hAnsi="Arial" w:cs="Arial"/>
          <w:vertAlign w:val="superscript"/>
        </w:rPr>
        <w:footnoteReference w:id="4"/>
      </w:r>
      <w:r>
        <w:rPr>
          <w:rFonts w:ascii="Arial" w:eastAsia="Arial" w:hAnsi="Arial" w:cs="Arial"/>
        </w:rPr>
        <w:t xml:space="preserve"> This widespread adoption allows Canada to benefit from significant economies of scale, leading t</w:t>
      </w:r>
      <w:r>
        <w:rPr>
          <w:rFonts w:ascii="Arial" w:eastAsia="Arial" w:hAnsi="Arial" w:cs="Arial"/>
        </w:rPr>
        <w:t>o reduced procurement costs for regional carriers as they access a more robust and standardized equipment market. Moreover, aligning with this global ecosystem ensures that Canadian infrastructure is optimized for 5G performance and provides a clear techni</w:t>
      </w:r>
      <w:r>
        <w:rPr>
          <w:rFonts w:ascii="Arial" w:eastAsia="Arial" w:hAnsi="Arial" w:cs="Arial"/>
        </w:rPr>
        <w:t>cal evolution path toward future 6G technologies.</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lastRenderedPageBreak/>
        <w:t>One final critical technical consideration warranting the Department’s attention is the integration of the 2496-2500 MHz frequencies into the proposed band plan. As emphasized in the submissions of both Nok</w:t>
      </w:r>
      <w:r>
        <w:rPr>
          <w:rFonts w:ascii="Arial" w:eastAsia="Arial" w:hAnsi="Arial" w:cs="Arial"/>
        </w:rPr>
        <w:t>ia Canada (“Nokia”) and Telus Communications Inc. (“Telus”),</w:t>
      </w:r>
    </w:p>
    <w:p w:rsidR="00A21C2A" w:rsidRDefault="008362DB">
      <w:pPr>
        <w:spacing w:after="120"/>
        <w:ind w:left="720" w:hanging="2"/>
        <w:jc w:val="both"/>
        <w:rPr>
          <w:rFonts w:ascii="Arial" w:eastAsia="Arial" w:hAnsi="Arial" w:cs="Arial"/>
        </w:rPr>
      </w:pPr>
      <w:r>
        <w:rPr>
          <w:rFonts w:ascii="Arial" w:eastAsia="Arial" w:hAnsi="Arial" w:cs="Arial"/>
          <w:i/>
          <w:iCs/>
        </w:rPr>
        <w:t xml:space="preserve">This band plan, similar to the U.S. should include the frequencies </w:t>
      </w:r>
      <w:r>
        <w:rPr>
          <w:rFonts w:ascii="Arial" w:eastAsia="Arial" w:hAnsi="Arial" w:cs="Arial"/>
          <w:b/>
          <w:bCs/>
          <w:i/>
          <w:iCs/>
        </w:rPr>
        <w:t>2496-2500 MHz</w:t>
      </w:r>
      <w:r>
        <w:rPr>
          <w:rFonts w:ascii="Arial" w:eastAsia="Arial" w:hAnsi="Arial" w:cs="Arial"/>
          <w:i/>
          <w:iCs/>
        </w:rPr>
        <w:t>, would maximize equipment alignment (and thus, availability), minimize unnecessary certification differences, and support the ecosystem development required for future technology cycles.</w:t>
      </w:r>
      <w:r>
        <w:rPr>
          <w:rFonts w:ascii="Arial" w:eastAsia="Arial" w:hAnsi="Arial" w:cs="Arial"/>
          <w:i/>
          <w:iCs/>
          <w:vertAlign w:val="superscript"/>
        </w:rPr>
        <w:footnoteReference w:id="5"/>
      </w:r>
      <w:r>
        <w:rPr>
          <w:rFonts w:ascii="Arial" w:eastAsia="Arial" w:hAnsi="Arial" w:cs="Arial"/>
          <w:i/>
          <w:iCs/>
        </w:rPr>
        <w:t xml:space="preserve"> </w:t>
      </w:r>
      <w:r>
        <w:rPr>
          <w:rFonts w:ascii="Arial" w:eastAsia="Arial" w:hAnsi="Arial" w:cs="Arial"/>
        </w:rPr>
        <w:t>[Emphasis added]</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Cogeco strongly endorses the expansion of the band</w:t>
      </w:r>
      <w:r>
        <w:rPr>
          <w:rFonts w:ascii="Arial" w:eastAsia="Arial" w:hAnsi="Arial" w:cs="Arial"/>
        </w:rPr>
        <w:t xml:space="preserve"> plan to include the 2496-2500 MHz frequencies, as alignment with the global n41 ecosystem is critical for leveraging global economies of scale. Harmonizing with this international standard will not only reduce procurement costs for Canadian carriers by pr</w:t>
      </w:r>
      <w:r>
        <w:rPr>
          <w:rFonts w:ascii="Arial" w:eastAsia="Arial" w:hAnsi="Arial" w:cs="Arial"/>
        </w:rPr>
        <w:t>oviding access to a more robust and standardized equipment market, but it also ensures that domestic infrastructure is fully optimized for 5G-Advanced and establishes a clear technical evolution path toward future 6G technologies. Any departure from this g</w:t>
      </w:r>
      <w:r>
        <w:rPr>
          <w:rFonts w:ascii="Arial" w:eastAsia="Arial" w:hAnsi="Arial" w:cs="Arial"/>
        </w:rPr>
        <w:t>lobal specification could necessitate Canada-specific filter modifications by manufacturers, creating unnecessary technical barriers that would ultimately be detrimental to the industry. Furthermore, given that this minor block of spectrum remains currentl</w:t>
      </w:r>
      <w:r>
        <w:rPr>
          <w:rFonts w:ascii="Arial" w:eastAsia="Arial" w:hAnsi="Arial" w:cs="Arial"/>
        </w:rPr>
        <w:t>y unassigned, it could be efficiently bundled with unassigned guard bands in a future licensing process (see section VI below).</w:t>
      </w:r>
    </w:p>
    <w:p w:rsidR="00A21C2A" w:rsidRDefault="00A21C2A">
      <w:pPr>
        <w:pBdr>
          <w:top w:val="nil"/>
          <w:left w:val="nil"/>
          <w:bottom w:val="nil"/>
          <w:right w:val="nil"/>
          <w:between w:val="nil"/>
        </w:pBdr>
        <w:spacing w:after="120" w:line="276" w:lineRule="auto"/>
        <w:ind w:left="720" w:firstLine="0"/>
        <w:jc w:val="both"/>
        <w:rPr>
          <w:rFonts w:ascii="Arial" w:eastAsia="Arial" w:hAnsi="Arial" w:cs="Arial"/>
        </w:rPr>
      </w:pPr>
    </w:p>
    <w:p w:rsidR="00A21C2A" w:rsidRDefault="008362DB">
      <w:pPr>
        <w:widowControl w:val="0"/>
        <w:numPr>
          <w:ilvl w:val="0"/>
          <w:numId w:val="1"/>
        </w:numPr>
        <w:pBdr>
          <w:top w:val="nil"/>
          <w:left w:val="nil"/>
          <w:bottom w:val="nil"/>
          <w:right w:val="nil"/>
          <w:between w:val="nil"/>
        </w:pBdr>
        <w:spacing w:after="200" w:line="276" w:lineRule="auto"/>
        <w:ind w:left="0"/>
        <w:jc w:val="both"/>
        <w:rPr>
          <w:rFonts w:ascii="Arial" w:eastAsia="Arial" w:hAnsi="Arial" w:cs="Arial"/>
          <w:b/>
          <w:bCs/>
        </w:rPr>
      </w:pPr>
      <w:r>
        <w:rPr>
          <w:rFonts w:ascii="Arial" w:eastAsia="Arial" w:hAnsi="Arial" w:cs="Arial"/>
          <w:b/>
          <w:bCs/>
        </w:rPr>
        <w:t>MOST PARTIES SUPPORT A LATER START TO THE TRANSITION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In</w:t>
      </w:r>
      <w:r>
        <w:rPr>
          <w:rFonts w:ascii="Arial" w:eastAsia="Arial" w:hAnsi="Arial" w:cs="Arial"/>
        </w:rPr>
        <w:t xml:space="preserve"> Question 2 of the consultation, Cogeco supported ISED's proposed 2028 start date for the transition, provided the Department remained mindful of the significant operational and financial pressures placed on regional carriers. A 2028 timeline provides a re</w:t>
      </w:r>
      <w:r>
        <w:rPr>
          <w:rFonts w:ascii="Arial" w:eastAsia="Arial" w:hAnsi="Arial" w:cs="Arial"/>
        </w:rPr>
        <w:t>asonable window for planning, yet it requires ISED to be proactive in addressing the complexities of hardware replacement and network redesign. We believe that with the right regulatory safeguards in place, this timeline strikes an appropriate balance betw</w:t>
      </w:r>
      <w:r>
        <w:rPr>
          <w:rFonts w:ascii="Arial" w:eastAsia="Arial" w:hAnsi="Arial" w:cs="Arial"/>
        </w:rPr>
        <w:t>een the urgency of 5G modernization and the practical realities of network migration.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However, the diverse viewpoints expressed on the record suggest that achieving an industry-wide consensus on the optimal start date for the transition remains a significa</w:t>
      </w:r>
      <w:r>
        <w:rPr>
          <w:rFonts w:ascii="Arial" w:eastAsia="Arial" w:hAnsi="Arial" w:cs="Arial"/>
        </w:rPr>
        <w:t xml:space="preserve">nt challenge. Bell, Quebecor Media, on its own behalf and on behalf of its wholly owned subsidiary Videotron (“Quebecor”), Rogers Communications Canada Inc. (“Rogers”); Saskatchewan Telecommunications (“SaskTel”); Telus </w:t>
      </w:r>
      <w:r>
        <w:rPr>
          <w:rFonts w:ascii="Arial" w:eastAsia="Arial" w:hAnsi="Arial" w:cs="Arial"/>
        </w:rPr>
        <w:lastRenderedPageBreak/>
        <w:t>and Xplore Inc., on behalf of itself</w:t>
      </w:r>
      <w:r>
        <w:rPr>
          <w:rFonts w:ascii="Arial" w:eastAsia="Arial" w:hAnsi="Arial" w:cs="Arial"/>
        </w:rPr>
        <w:t xml:space="preserve"> and its affiliate Xplore Spectrum 1 Network Limited Partnership (“Xplore”) suggest an initial transition start date for Ontario and Quebec in 2033, with transition deadlines for the remaining zones occurring a few years later. Ecotel Inc. (“Ecotel”) propo</w:t>
      </w:r>
      <w:r>
        <w:rPr>
          <w:rFonts w:ascii="Arial" w:eastAsia="Arial" w:hAnsi="Arial" w:cs="Arial"/>
        </w:rPr>
        <w:t>ses the transition should not begin before 2034.</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Although opposed to the transition, Eastlink suggests that should the transition occur, it should not begin until 2035, prioritizing areas experiencing interference from US operators.</w:t>
      </w:r>
      <w:r>
        <w:rPr>
          <w:rFonts w:ascii="Arial" w:eastAsia="Arial" w:hAnsi="Arial" w:cs="Arial"/>
          <w:vertAlign w:val="superscript"/>
        </w:rPr>
        <w:footnoteReference w:id="6"/>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In response and acknow</w:t>
      </w:r>
      <w:r>
        <w:rPr>
          <w:rFonts w:ascii="Arial" w:eastAsia="Arial" w:hAnsi="Arial" w:cs="Arial"/>
        </w:rPr>
        <w:t>ledging the diverse views expressed on the record, Cogeco is open to considering a later transition window if it facilitates a smoother industry-wide migration. Our flexibility on the start date is strictly contingent upon ISED providing full and immediate</w:t>
      </w:r>
      <w:r>
        <w:rPr>
          <w:rFonts w:ascii="Arial" w:eastAsia="Arial" w:hAnsi="Arial" w:cs="Arial"/>
        </w:rPr>
        <w:t xml:space="preserve"> relief from current deployment requirements. If the transition is delayed beyond 2028, it becomes even more critical that operators are not forced to waste capital on legacy FDD equipment simply to meet arbitrary regulatory milestones that will soon be ob</w:t>
      </w:r>
      <w:r>
        <w:rPr>
          <w:rFonts w:ascii="Arial" w:eastAsia="Arial" w:hAnsi="Arial" w:cs="Arial"/>
        </w:rPr>
        <w:t>solete under the new TDD band plan. This is especially true for licences obtained in the 2018 residual auction, as their first deployment obligations begin in 2028.</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While intervenors were split on the optimal start date for the transition, there was wide s</w:t>
      </w:r>
      <w:r>
        <w:rPr>
          <w:rFonts w:ascii="Arial" w:eastAsia="Arial" w:hAnsi="Arial" w:cs="Arial"/>
        </w:rPr>
        <w:t xml:space="preserve">upport for a proposal to implement the transition on a market-by-market basis under a staggered timeline. </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Cogeco, Bell, Quebecor, Rogers, SaskTel, Telus and Xplore all recommend a phased-in transition approach, with Canada divided into three zones with st</w:t>
      </w:r>
      <w:r>
        <w:rPr>
          <w:rFonts w:ascii="Arial" w:eastAsia="Arial" w:hAnsi="Arial" w:cs="Arial"/>
        </w:rPr>
        <w:t>aggered transition deadlines.  This transition would begin in Ontario and Quebec, followed two years later by Atlantic Canada, Manitoba, Saskatchewan, Alberta, and British Columbia and then finally a year after that by Yukon, Northwest Territories, and Nun</w:t>
      </w:r>
      <w:r>
        <w:rPr>
          <w:rFonts w:ascii="Arial" w:eastAsia="Arial" w:hAnsi="Arial" w:cs="Arial"/>
        </w:rPr>
        <w:t>avut.</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Eastlink and Ecotel also expressed support for a regional approach with slight variations in the geographical areas covered by each region and/or later starting dates for the transition.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In response, Cogeco maintains its proposal that the transition be executed on a market-by-market basis for the following three regions:</w:t>
      </w:r>
    </w:p>
    <w:p w:rsidR="00A21C2A" w:rsidRDefault="00A21C2A">
      <w:pPr>
        <w:spacing w:after="120"/>
        <w:ind w:left="540" w:firstLine="0"/>
        <w:jc w:val="both"/>
        <w:rPr>
          <w:rFonts w:ascii="Arial" w:eastAsia="Arial" w:hAnsi="Arial" w:cs="Arial"/>
        </w:rPr>
      </w:pPr>
    </w:p>
    <w:p w:rsidR="00D65C08" w:rsidRDefault="00D65C08">
      <w:pPr>
        <w:spacing w:after="120"/>
        <w:ind w:left="540" w:firstLine="0"/>
        <w:jc w:val="both"/>
        <w:rPr>
          <w:rFonts w:ascii="Arial" w:eastAsia="Arial" w:hAnsi="Arial" w:cs="Arial"/>
        </w:rPr>
      </w:pPr>
    </w:p>
    <w:tbl>
      <w:tblPr>
        <w:tblStyle w:val="a"/>
        <w:tblW w:w="8055" w:type="dxa"/>
        <w:tblInd w:w="480" w:type="dxa"/>
        <w:tblLayout w:type="fixed"/>
        <w:tblLook w:val="0600" w:firstRow="0" w:lastRow="0" w:firstColumn="0" w:lastColumn="0" w:noHBand="1" w:noVBand="1"/>
      </w:tblPr>
      <w:tblGrid>
        <w:gridCol w:w="1050"/>
        <w:gridCol w:w="4410"/>
        <w:gridCol w:w="2595"/>
      </w:tblGrid>
      <w:tr w:rsidR="00A21C2A">
        <w:trPr>
          <w:trHeight w:val="464"/>
        </w:trPr>
        <w:tc>
          <w:tcPr>
            <w:tcW w:w="1050" w:type="dxa"/>
            <w:tcBorders>
              <w:top w:val="single" w:sz="4" w:space="0" w:color="000000"/>
              <w:left w:val="single" w:sz="4" w:space="0" w:color="000000"/>
              <w:bottom w:val="single" w:sz="4" w:space="0" w:color="000000"/>
              <w:right w:val="single" w:sz="4" w:space="0" w:color="000000"/>
            </w:tcBorders>
            <w:shd w:val="clear" w:color="auto" w:fill="4A86E8"/>
            <w:tcMar>
              <w:top w:w="144" w:type="dxa"/>
              <w:left w:w="144" w:type="dxa"/>
              <w:bottom w:w="144" w:type="dxa"/>
              <w:right w:w="144" w:type="dxa"/>
            </w:tcMar>
            <w:vAlign w:val="center"/>
          </w:tcPr>
          <w:p w:rsidR="00A21C2A" w:rsidRDefault="008362DB">
            <w:pPr>
              <w:ind w:firstLine="0"/>
              <w:jc w:val="center"/>
            </w:pPr>
            <w:r>
              <w:rPr>
                <w:rFonts w:ascii="Arial" w:eastAsia="Arial" w:hAnsi="Arial" w:cs="Arial"/>
                <w:b/>
                <w:bCs/>
              </w:rPr>
              <w:lastRenderedPageBreak/>
              <w:t>Phase</w:t>
            </w:r>
          </w:p>
        </w:tc>
        <w:tc>
          <w:tcPr>
            <w:tcW w:w="4410" w:type="dxa"/>
            <w:tcBorders>
              <w:top w:val="single" w:sz="4" w:space="0" w:color="000000"/>
              <w:left w:val="single" w:sz="4" w:space="0" w:color="000000"/>
              <w:bottom w:val="single" w:sz="4" w:space="0" w:color="000000"/>
              <w:right w:val="single" w:sz="4" w:space="0" w:color="000000"/>
            </w:tcBorders>
            <w:shd w:val="clear" w:color="auto" w:fill="4A86E8"/>
            <w:tcMar>
              <w:top w:w="144" w:type="dxa"/>
              <w:left w:w="144" w:type="dxa"/>
              <w:bottom w:w="144" w:type="dxa"/>
              <w:right w:w="144" w:type="dxa"/>
            </w:tcMar>
            <w:vAlign w:val="center"/>
          </w:tcPr>
          <w:p w:rsidR="00A21C2A" w:rsidRDefault="008362DB">
            <w:pPr>
              <w:ind w:firstLine="0"/>
              <w:jc w:val="center"/>
            </w:pPr>
            <w:r>
              <w:rPr>
                <w:rFonts w:ascii="Arial" w:eastAsia="Arial" w:hAnsi="Arial" w:cs="Arial"/>
                <w:b/>
                <w:bCs/>
              </w:rPr>
              <w:t>Province or Territory</w:t>
            </w:r>
          </w:p>
        </w:tc>
        <w:tc>
          <w:tcPr>
            <w:tcW w:w="2595" w:type="dxa"/>
            <w:tcBorders>
              <w:top w:val="single" w:sz="4" w:space="0" w:color="000000"/>
              <w:left w:val="single" w:sz="4" w:space="0" w:color="000000"/>
              <w:bottom w:val="single" w:sz="4" w:space="0" w:color="000000"/>
              <w:right w:val="single" w:sz="4" w:space="0" w:color="000000"/>
            </w:tcBorders>
            <w:shd w:val="clear" w:color="auto" w:fill="4A86E8"/>
            <w:tcMar>
              <w:top w:w="144" w:type="dxa"/>
              <w:left w:w="144" w:type="dxa"/>
              <w:bottom w:w="144" w:type="dxa"/>
              <w:right w:w="144" w:type="dxa"/>
            </w:tcMar>
            <w:vAlign w:val="center"/>
          </w:tcPr>
          <w:p w:rsidR="00A21C2A" w:rsidRDefault="008362DB">
            <w:pPr>
              <w:ind w:firstLine="0"/>
              <w:jc w:val="center"/>
            </w:pPr>
            <w:r>
              <w:rPr>
                <w:rFonts w:ascii="Arial" w:eastAsia="Arial" w:hAnsi="Arial" w:cs="Arial"/>
                <w:b/>
                <w:bCs/>
              </w:rPr>
              <w:t>Transition Date</w:t>
            </w:r>
          </w:p>
        </w:tc>
      </w:tr>
      <w:tr w:rsidR="00A21C2A">
        <w:trPr>
          <w:trHeight w:val="144"/>
        </w:trPr>
        <w:tc>
          <w:tcPr>
            <w:tcW w:w="1050" w:type="dxa"/>
            <w:tcBorders>
              <w:top w:val="single" w:sz="4" w:space="0" w:color="000000"/>
              <w:left w:val="single" w:sz="4" w:space="0" w:color="000000"/>
              <w:bottom w:val="single" w:sz="4" w:space="0" w:color="000000"/>
              <w:right w:val="single" w:sz="4" w:space="0" w:color="000000"/>
            </w:tcBorders>
            <w:vAlign w:val="center"/>
          </w:tcPr>
          <w:p w:rsidR="00A21C2A" w:rsidRDefault="008362DB">
            <w:pPr>
              <w:ind w:firstLine="0"/>
              <w:jc w:val="center"/>
              <w:rPr>
                <w:rFonts w:ascii="Arial" w:eastAsia="Arial" w:hAnsi="Arial" w:cs="Arial"/>
              </w:rPr>
            </w:pPr>
            <w:r>
              <w:rPr>
                <w:rFonts w:ascii="Arial" w:eastAsia="Arial" w:hAnsi="Arial" w:cs="Arial"/>
              </w:rPr>
              <w:t>1</w:t>
            </w:r>
          </w:p>
        </w:tc>
        <w:tc>
          <w:tcPr>
            <w:tcW w:w="4410" w:type="dxa"/>
            <w:tcBorders>
              <w:top w:val="single" w:sz="4" w:space="0" w:color="000000"/>
              <w:left w:val="single" w:sz="4" w:space="0" w:color="000000"/>
              <w:bottom w:val="single" w:sz="4" w:space="0" w:color="000000"/>
              <w:right w:val="single" w:sz="4" w:space="0" w:color="000000"/>
            </w:tcBorders>
            <w:vAlign w:val="center"/>
          </w:tcPr>
          <w:p w:rsidR="00A21C2A" w:rsidRDefault="008362DB">
            <w:pPr>
              <w:ind w:firstLine="0"/>
              <w:jc w:val="center"/>
              <w:rPr>
                <w:rFonts w:ascii="Arial" w:eastAsia="Arial" w:hAnsi="Arial" w:cs="Arial"/>
              </w:rPr>
            </w:pPr>
            <w:r>
              <w:rPr>
                <w:rFonts w:ascii="Arial" w:eastAsia="Arial" w:hAnsi="Arial" w:cs="Arial"/>
              </w:rPr>
              <w:t xml:space="preserve">ON-QC (excl. </w:t>
            </w:r>
            <w:proofErr w:type="spellStart"/>
            <w:r>
              <w:rPr>
                <w:rFonts w:ascii="Arial" w:eastAsia="Arial" w:hAnsi="Arial" w:cs="Arial"/>
              </w:rPr>
              <w:t>Gaspé</w:t>
            </w:r>
            <w:proofErr w:type="spellEnd"/>
            <w:r>
              <w:rPr>
                <w:rFonts w:ascii="Arial" w:eastAsia="Arial" w:hAnsi="Arial" w:cs="Arial"/>
              </w:rPr>
              <w:t>)</w:t>
            </w:r>
          </w:p>
        </w:tc>
        <w:tc>
          <w:tcPr>
            <w:tcW w:w="2595" w:type="dxa"/>
            <w:tcBorders>
              <w:top w:val="single" w:sz="4" w:space="0" w:color="000000"/>
              <w:left w:val="single" w:sz="4" w:space="0" w:color="000000"/>
              <w:bottom w:val="single" w:sz="4" w:space="0" w:color="000000"/>
              <w:right w:val="single" w:sz="4" w:space="0" w:color="000000"/>
            </w:tcBorders>
            <w:vAlign w:val="center"/>
          </w:tcPr>
          <w:p w:rsidR="00A21C2A" w:rsidRDefault="008362DB">
            <w:pPr>
              <w:ind w:firstLine="0"/>
              <w:jc w:val="center"/>
              <w:rPr>
                <w:rFonts w:ascii="Arial" w:eastAsia="Arial" w:hAnsi="Arial" w:cs="Arial"/>
              </w:rPr>
            </w:pPr>
            <w:r>
              <w:rPr>
                <w:rFonts w:ascii="Arial" w:eastAsia="Arial" w:hAnsi="Arial" w:cs="Arial"/>
              </w:rPr>
              <w:t>YYYY</w:t>
            </w:r>
          </w:p>
        </w:tc>
      </w:tr>
      <w:tr w:rsidR="00A21C2A">
        <w:trPr>
          <w:trHeight w:val="144"/>
        </w:trPr>
        <w:tc>
          <w:tcPr>
            <w:tcW w:w="1050" w:type="dxa"/>
            <w:tcBorders>
              <w:top w:val="single" w:sz="4" w:space="0" w:color="000000"/>
              <w:left w:val="single" w:sz="4" w:space="0" w:color="000000"/>
              <w:bottom w:val="single" w:sz="4" w:space="0" w:color="000000"/>
              <w:right w:val="single" w:sz="4" w:space="0" w:color="000000"/>
            </w:tcBorders>
            <w:vAlign w:val="center"/>
          </w:tcPr>
          <w:p w:rsidR="00A21C2A" w:rsidRDefault="008362DB">
            <w:pPr>
              <w:ind w:firstLine="0"/>
              <w:jc w:val="center"/>
              <w:rPr>
                <w:rFonts w:ascii="Arial" w:eastAsia="Arial" w:hAnsi="Arial" w:cs="Arial"/>
              </w:rPr>
            </w:pPr>
            <w:r>
              <w:rPr>
                <w:rFonts w:ascii="Arial" w:eastAsia="Arial" w:hAnsi="Arial" w:cs="Arial"/>
              </w:rPr>
              <w:t>2</w:t>
            </w:r>
          </w:p>
        </w:tc>
        <w:tc>
          <w:tcPr>
            <w:tcW w:w="4410" w:type="dxa"/>
            <w:tcBorders>
              <w:top w:val="single" w:sz="4" w:space="0" w:color="000000"/>
              <w:left w:val="single" w:sz="4" w:space="0" w:color="000000"/>
              <w:bottom w:val="single" w:sz="4" w:space="0" w:color="000000"/>
              <w:right w:val="single" w:sz="4" w:space="0" w:color="000000"/>
            </w:tcBorders>
            <w:vAlign w:val="center"/>
          </w:tcPr>
          <w:p w:rsidR="00A21C2A" w:rsidRDefault="008362DB">
            <w:pPr>
              <w:ind w:firstLine="0"/>
              <w:jc w:val="center"/>
              <w:rPr>
                <w:rFonts w:ascii="Arial" w:eastAsia="Arial" w:hAnsi="Arial" w:cs="Arial"/>
              </w:rPr>
            </w:pPr>
            <w:r>
              <w:rPr>
                <w:rFonts w:ascii="Arial" w:eastAsia="Arial" w:hAnsi="Arial" w:cs="Arial"/>
              </w:rPr>
              <w:t xml:space="preserve">ATL-BC-AB-SK-MB (incl. </w:t>
            </w:r>
            <w:proofErr w:type="spellStart"/>
            <w:r>
              <w:rPr>
                <w:rFonts w:ascii="Arial" w:eastAsia="Arial" w:hAnsi="Arial" w:cs="Arial"/>
              </w:rPr>
              <w:t>Gaspé</w:t>
            </w:r>
            <w:proofErr w:type="spellEnd"/>
            <w:r>
              <w:rPr>
                <w:rFonts w:ascii="Arial" w:eastAsia="Arial" w:hAnsi="Arial" w:cs="Arial"/>
              </w:rPr>
              <w:t>)</w:t>
            </w:r>
          </w:p>
        </w:tc>
        <w:tc>
          <w:tcPr>
            <w:tcW w:w="2595" w:type="dxa"/>
            <w:tcBorders>
              <w:top w:val="single" w:sz="4" w:space="0" w:color="000000"/>
              <w:left w:val="single" w:sz="4" w:space="0" w:color="000000"/>
              <w:bottom w:val="single" w:sz="4" w:space="0" w:color="000000"/>
              <w:right w:val="single" w:sz="4" w:space="0" w:color="000000"/>
            </w:tcBorders>
            <w:vAlign w:val="center"/>
          </w:tcPr>
          <w:p w:rsidR="00A21C2A" w:rsidRDefault="008362DB">
            <w:pPr>
              <w:ind w:firstLine="0"/>
              <w:jc w:val="center"/>
              <w:rPr>
                <w:rFonts w:ascii="Arial" w:eastAsia="Arial" w:hAnsi="Arial" w:cs="Arial"/>
              </w:rPr>
            </w:pPr>
            <w:r>
              <w:rPr>
                <w:rFonts w:ascii="Arial" w:eastAsia="Arial" w:hAnsi="Arial" w:cs="Arial"/>
              </w:rPr>
              <w:t>YYYY+2</w:t>
            </w:r>
          </w:p>
        </w:tc>
      </w:tr>
      <w:tr w:rsidR="00A21C2A">
        <w:trPr>
          <w:trHeight w:val="144"/>
        </w:trPr>
        <w:tc>
          <w:tcPr>
            <w:tcW w:w="1050" w:type="dxa"/>
            <w:tcBorders>
              <w:top w:val="single" w:sz="4" w:space="0" w:color="000000"/>
              <w:left w:val="single" w:sz="4" w:space="0" w:color="000000"/>
              <w:bottom w:val="single" w:sz="4" w:space="0" w:color="000000"/>
              <w:right w:val="single" w:sz="4" w:space="0" w:color="000000"/>
            </w:tcBorders>
            <w:vAlign w:val="center"/>
          </w:tcPr>
          <w:p w:rsidR="00A21C2A" w:rsidRDefault="008362DB">
            <w:pPr>
              <w:ind w:firstLine="0"/>
              <w:jc w:val="center"/>
              <w:rPr>
                <w:rFonts w:ascii="Arial" w:eastAsia="Arial" w:hAnsi="Arial" w:cs="Arial"/>
              </w:rPr>
            </w:pPr>
            <w:r>
              <w:rPr>
                <w:rFonts w:ascii="Arial" w:eastAsia="Arial" w:hAnsi="Arial" w:cs="Arial"/>
              </w:rPr>
              <w:t>3</w:t>
            </w:r>
          </w:p>
        </w:tc>
        <w:tc>
          <w:tcPr>
            <w:tcW w:w="4410" w:type="dxa"/>
            <w:tcBorders>
              <w:top w:val="single" w:sz="4" w:space="0" w:color="000000"/>
              <w:left w:val="single" w:sz="4" w:space="0" w:color="000000"/>
              <w:bottom w:val="single" w:sz="4" w:space="0" w:color="000000"/>
              <w:right w:val="single" w:sz="4" w:space="0" w:color="000000"/>
            </w:tcBorders>
            <w:vAlign w:val="center"/>
          </w:tcPr>
          <w:p w:rsidR="00A21C2A" w:rsidRDefault="008362DB">
            <w:pPr>
              <w:ind w:firstLine="0"/>
              <w:jc w:val="center"/>
              <w:rPr>
                <w:rFonts w:ascii="Arial" w:eastAsia="Arial" w:hAnsi="Arial" w:cs="Arial"/>
              </w:rPr>
            </w:pPr>
            <w:r>
              <w:rPr>
                <w:rFonts w:ascii="Arial" w:eastAsia="Arial" w:hAnsi="Arial" w:cs="Arial"/>
              </w:rPr>
              <w:t>YT-NT-NU</w:t>
            </w:r>
          </w:p>
        </w:tc>
        <w:tc>
          <w:tcPr>
            <w:tcW w:w="2595" w:type="dxa"/>
            <w:tcBorders>
              <w:top w:val="single" w:sz="4" w:space="0" w:color="000000"/>
              <w:left w:val="single" w:sz="4" w:space="0" w:color="000000"/>
              <w:bottom w:val="single" w:sz="4" w:space="0" w:color="000000"/>
              <w:right w:val="single" w:sz="4" w:space="0" w:color="000000"/>
            </w:tcBorders>
            <w:vAlign w:val="center"/>
          </w:tcPr>
          <w:p w:rsidR="00A21C2A" w:rsidRDefault="008362DB">
            <w:pPr>
              <w:ind w:firstLine="0"/>
              <w:jc w:val="center"/>
              <w:rPr>
                <w:rFonts w:ascii="Arial" w:eastAsia="Arial" w:hAnsi="Arial" w:cs="Arial"/>
              </w:rPr>
            </w:pPr>
            <w:r>
              <w:rPr>
                <w:rFonts w:ascii="Arial" w:eastAsia="Arial" w:hAnsi="Arial" w:cs="Arial"/>
              </w:rPr>
              <w:t>YYYY+3</w:t>
            </w:r>
          </w:p>
        </w:tc>
      </w:tr>
    </w:tbl>
    <w:p w:rsidR="00A21C2A" w:rsidRDefault="00A21C2A">
      <w:pPr>
        <w:spacing w:after="120"/>
        <w:ind w:left="720" w:firstLine="0"/>
        <w:jc w:val="both"/>
        <w:rPr>
          <w:rFonts w:ascii="Arial" w:eastAsia="Arial" w:hAnsi="Arial" w:cs="Arial"/>
        </w:rPr>
      </w:pP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In summary, while Cogeco remains prepared to accommodate ISED’s 2028 timeline or a later start date, the success of the 2500 MHz transition hinges on one critical prerequisite: the immediate suspension of legacy deployment requirements. This relief, suppor</w:t>
      </w:r>
      <w:r>
        <w:rPr>
          <w:rFonts w:ascii="Arial" w:eastAsia="Arial" w:hAnsi="Arial" w:cs="Arial"/>
        </w:rPr>
        <w:t>ted by unanimous industry consensus, is the indispensable regulatory safeguard that prevents the wasteful diversion of capital toward obsolete FDD networks. By combining this immediate certainty with the proposed phased, market-by-market approach, ISED can</w:t>
      </w:r>
      <w:r>
        <w:rPr>
          <w:rFonts w:ascii="Arial" w:eastAsia="Arial" w:hAnsi="Arial" w:cs="Arial"/>
        </w:rPr>
        <w:t xml:space="preserve"> ensure a streamlined migration that strategically positions regional carriers to deliver advanced 5G services across Canada.</w:t>
      </w:r>
    </w:p>
    <w:p w:rsidR="00A21C2A" w:rsidRDefault="00A21C2A">
      <w:pPr>
        <w:spacing w:after="120"/>
        <w:ind w:hanging="2"/>
        <w:jc w:val="both"/>
        <w:rPr>
          <w:rFonts w:ascii="Arial" w:eastAsia="Arial" w:hAnsi="Arial" w:cs="Arial"/>
        </w:rPr>
      </w:pPr>
    </w:p>
    <w:p w:rsidR="00A21C2A" w:rsidRDefault="008362DB">
      <w:pPr>
        <w:widowControl w:val="0"/>
        <w:numPr>
          <w:ilvl w:val="0"/>
          <w:numId w:val="1"/>
        </w:numPr>
        <w:pBdr>
          <w:top w:val="nil"/>
          <w:left w:val="nil"/>
          <w:bottom w:val="nil"/>
          <w:right w:val="nil"/>
          <w:between w:val="nil"/>
        </w:pBdr>
        <w:spacing w:after="200" w:line="276" w:lineRule="auto"/>
        <w:ind w:left="0"/>
        <w:jc w:val="both"/>
        <w:rPr>
          <w:rFonts w:ascii="Arial" w:eastAsia="Arial" w:hAnsi="Arial" w:cs="Arial"/>
          <w:b/>
          <w:bCs/>
        </w:rPr>
      </w:pPr>
      <w:r>
        <w:rPr>
          <w:rFonts w:ascii="Arial" w:eastAsia="Arial" w:hAnsi="Arial" w:cs="Arial"/>
          <w:b/>
          <w:bCs/>
        </w:rPr>
        <w:t>A CONSENSUS ON RELAXING DEPLOYMENT REQUIREMENTS</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 xml:space="preserve">In response to Question 3, Cogeco proposed that deployment obligations must be suspended or significantly relaxed leading up to and throughout the transition period. Forcing operators to meet current coverage targets using soon-to-be-deprecated technology </w:t>
      </w:r>
      <w:r>
        <w:rPr>
          <w:rFonts w:ascii="Arial" w:eastAsia="Arial" w:hAnsi="Arial" w:cs="Arial"/>
        </w:rPr>
        <w:t xml:space="preserve">is a recipe for economic inefficiency. Such a policy would divert vital investment away from the very 5G infrastructure that ISED seeks to promote. </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On this issue, there is unanimous support, with every commenter agreeing that ISED must immediately pause t</w:t>
      </w:r>
      <w:r>
        <w:rPr>
          <w:rFonts w:ascii="Arial" w:eastAsia="Arial" w:hAnsi="Arial" w:cs="Arial"/>
        </w:rPr>
        <w:t>he enforcement of deployment requirements. Parties emphasize the impracticality of investing capital in networks that will soon require fundamental re-engineering. Granting a pause would provide the necessary breathing room for carriers to focus exclusivel</w:t>
      </w:r>
      <w:r>
        <w:rPr>
          <w:rFonts w:ascii="Arial" w:eastAsia="Arial" w:hAnsi="Arial" w:cs="Arial"/>
        </w:rPr>
        <w:t xml:space="preserve">y on the technical logistics of the band plan migration, ensuring the transition is supported by a robust and ready equipment ecosystem. This unanimous view is underscored by the positions of diverse stakeholders: </w:t>
      </w:r>
    </w:p>
    <w:p w:rsidR="00A21C2A" w:rsidRDefault="008362DB">
      <w:pPr>
        <w:numPr>
          <w:ilvl w:val="1"/>
          <w:numId w:val="2"/>
        </w:numPr>
        <w:pBdr>
          <w:top w:val="nil"/>
          <w:left w:val="nil"/>
          <w:bottom w:val="nil"/>
          <w:right w:val="nil"/>
          <w:between w:val="nil"/>
        </w:pBdr>
        <w:spacing w:after="120" w:line="276" w:lineRule="auto"/>
        <w:jc w:val="both"/>
        <w:rPr>
          <w:rFonts w:ascii="Arial" w:eastAsia="Arial" w:hAnsi="Arial" w:cs="Arial"/>
        </w:rPr>
      </w:pPr>
      <w:r>
        <w:rPr>
          <w:rFonts w:ascii="Arial" w:eastAsia="Arial" w:hAnsi="Arial" w:cs="Arial"/>
        </w:rPr>
        <w:t xml:space="preserve">Bell recommends “that ISED impose a hold </w:t>
      </w:r>
      <w:r>
        <w:rPr>
          <w:rFonts w:ascii="Arial" w:eastAsia="Arial" w:hAnsi="Arial" w:cs="Arial"/>
        </w:rPr>
        <w:t>on the enforcement of deployment requirements effective as of the date of ISED’s decision on this consultation.”</w:t>
      </w:r>
      <w:r>
        <w:rPr>
          <w:rFonts w:ascii="Arial" w:eastAsia="Arial" w:hAnsi="Arial" w:cs="Arial"/>
          <w:vertAlign w:val="superscript"/>
        </w:rPr>
        <w:footnoteReference w:id="7"/>
      </w:r>
    </w:p>
    <w:p w:rsidR="00A21C2A" w:rsidRDefault="008362DB">
      <w:pPr>
        <w:numPr>
          <w:ilvl w:val="1"/>
          <w:numId w:val="2"/>
        </w:numPr>
        <w:pBdr>
          <w:top w:val="nil"/>
          <w:left w:val="nil"/>
          <w:bottom w:val="nil"/>
          <w:right w:val="nil"/>
          <w:between w:val="nil"/>
        </w:pBdr>
        <w:spacing w:after="120" w:line="276" w:lineRule="auto"/>
        <w:jc w:val="both"/>
        <w:rPr>
          <w:rFonts w:ascii="Arial" w:eastAsia="Arial" w:hAnsi="Arial" w:cs="Arial"/>
        </w:rPr>
      </w:pPr>
      <w:r>
        <w:rPr>
          <w:rFonts w:ascii="Arial" w:eastAsia="Arial" w:hAnsi="Arial" w:cs="Arial"/>
        </w:rPr>
        <w:lastRenderedPageBreak/>
        <w:t>Eastlink, notwithstanding their objection to the new 2500 MHz band plan, acknowledges that if ISED proceeds with the transition, it should pau</w:t>
      </w:r>
      <w:r>
        <w:rPr>
          <w:rFonts w:ascii="Arial" w:eastAsia="Arial" w:hAnsi="Arial" w:cs="Arial"/>
        </w:rPr>
        <w:t>se deployment requirements suggesting that:</w:t>
      </w:r>
    </w:p>
    <w:p w:rsidR="00A21C2A" w:rsidRDefault="008362DB">
      <w:pPr>
        <w:spacing w:after="120"/>
        <w:ind w:left="2160"/>
        <w:jc w:val="both"/>
        <w:rPr>
          <w:rFonts w:ascii="Arial" w:eastAsia="Arial" w:hAnsi="Arial" w:cs="Arial"/>
          <w:i/>
          <w:iCs/>
        </w:rPr>
      </w:pPr>
      <w:r>
        <w:rPr>
          <w:rFonts w:ascii="Arial" w:eastAsia="Arial" w:hAnsi="Arial" w:cs="Arial"/>
          <w:i/>
          <w:iCs/>
        </w:rPr>
        <w:t>… deployment requirements must be paused for all licence holders in the 2500 MHz band. Current deployment requirements can then be applied using the year the transition starts as the license issue date (</w:t>
      </w:r>
      <w:proofErr w:type="spellStart"/>
      <w:r>
        <w:rPr>
          <w:rFonts w:ascii="Arial" w:eastAsia="Arial" w:hAnsi="Arial" w:cs="Arial"/>
          <w:i/>
          <w:iCs/>
        </w:rPr>
        <w:t>eg.</w:t>
      </w:r>
      <w:proofErr w:type="spellEnd"/>
      <w:r>
        <w:rPr>
          <w:rFonts w:ascii="Arial" w:eastAsia="Arial" w:hAnsi="Arial" w:cs="Arial"/>
          <w:i/>
          <w:iCs/>
        </w:rPr>
        <w:t xml:space="preserve"> for Tier 3-01, the 30% minimum population coverag</w:t>
      </w:r>
      <w:r>
        <w:rPr>
          <w:rFonts w:ascii="Arial" w:eastAsia="Arial" w:hAnsi="Arial" w:cs="Arial"/>
          <w:i/>
          <w:iCs/>
        </w:rPr>
        <w:t>e would need to be met 10 years from 2035).</w:t>
      </w:r>
      <w:r>
        <w:rPr>
          <w:rFonts w:ascii="Arial" w:eastAsia="Arial" w:hAnsi="Arial" w:cs="Arial"/>
          <w:i/>
          <w:iCs/>
          <w:vertAlign w:val="superscript"/>
        </w:rPr>
        <w:footnoteReference w:id="8"/>
      </w:r>
    </w:p>
    <w:p w:rsidR="00A21C2A" w:rsidRDefault="008362DB">
      <w:pPr>
        <w:numPr>
          <w:ilvl w:val="1"/>
          <w:numId w:val="2"/>
        </w:numPr>
        <w:pBdr>
          <w:top w:val="nil"/>
          <w:left w:val="nil"/>
          <w:bottom w:val="nil"/>
          <w:right w:val="nil"/>
          <w:between w:val="nil"/>
        </w:pBdr>
        <w:spacing w:after="120" w:line="276" w:lineRule="auto"/>
        <w:jc w:val="both"/>
        <w:rPr>
          <w:rFonts w:ascii="Arial" w:eastAsia="Arial" w:hAnsi="Arial" w:cs="Arial"/>
        </w:rPr>
      </w:pPr>
      <w:r>
        <w:rPr>
          <w:rFonts w:ascii="Arial" w:eastAsia="Arial" w:hAnsi="Arial" w:cs="Arial"/>
        </w:rPr>
        <w:t xml:space="preserve">Telus also recognizes the need to pause deployment requirements: </w:t>
      </w:r>
    </w:p>
    <w:p w:rsidR="00A21C2A" w:rsidRDefault="008362DB">
      <w:pPr>
        <w:pBdr>
          <w:top w:val="nil"/>
          <w:left w:val="nil"/>
          <w:bottom w:val="nil"/>
          <w:right w:val="nil"/>
          <w:between w:val="nil"/>
        </w:pBdr>
        <w:spacing w:after="120"/>
        <w:ind w:left="2160"/>
        <w:jc w:val="both"/>
        <w:rPr>
          <w:rFonts w:ascii="Arial" w:eastAsia="Arial" w:hAnsi="Arial" w:cs="Arial"/>
          <w:i/>
          <w:iCs/>
        </w:rPr>
      </w:pPr>
      <w:r>
        <w:rPr>
          <w:rFonts w:ascii="Arial" w:eastAsia="Arial" w:hAnsi="Arial" w:cs="Arial"/>
          <w:i/>
          <w:iCs/>
        </w:rPr>
        <w:t>Deployment requirements are intended to ensure spectrum is used for the benefit of Canadians. However, enforcing any build requirements during tr</w:t>
      </w:r>
      <w:r>
        <w:rPr>
          <w:rFonts w:ascii="Arial" w:eastAsia="Arial" w:hAnsi="Arial" w:cs="Arial"/>
          <w:i/>
          <w:iCs/>
        </w:rPr>
        <w:t>ansition (e.g. prior to the 2025 delayed assessment or potentially a delayed 2028 assessments) is counterproductive. Pausing the deployment assessment until post transition recognizes the transient nature of the deployment state at any point in time of the</w:t>
      </w:r>
      <w:r>
        <w:rPr>
          <w:rFonts w:ascii="Arial" w:eastAsia="Arial" w:hAnsi="Arial" w:cs="Arial"/>
          <w:i/>
          <w:iCs/>
        </w:rPr>
        <w:t xml:space="preserve"> transition period.</w:t>
      </w:r>
      <w:r>
        <w:rPr>
          <w:rFonts w:ascii="Arial" w:eastAsia="Arial" w:hAnsi="Arial" w:cs="Arial"/>
          <w:i/>
          <w:iCs/>
          <w:vertAlign w:val="superscript"/>
        </w:rPr>
        <w:footnoteReference w:id="9"/>
      </w:r>
    </w:p>
    <w:p w:rsidR="00A21C2A" w:rsidRDefault="00A21C2A">
      <w:pPr>
        <w:spacing w:after="120"/>
        <w:ind w:firstLine="0"/>
        <w:jc w:val="both"/>
        <w:rPr>
          <w:rFonts w:ascii="Arial" w:eastAsia="Arial" w:hAnsi="Arial" w:cs="Arial"/>
        </w:rPr>
      </w:pPr>
    </w:p>
    <w:p w:rsidR="00A21C2A" w:rsidRDefault="008362DB">
      <w:pPr>
        <w:widowControl w:val="0"/>
        <w:numPr>
          <w:ilvl w:val="0"/>
          <w:numId w:val="1"/>
        </w:numPr>
        <w:pBdr>
          <w:top w:val="nil"/>
          <w:left w:val="nil"/>
          <w:bottom w:val="nil"/>
          <w:right w:val="nil"/>
          <w:between w:val="nil"/>
        </w:pBdr>
        <w:spacing w:after="200" w:line="276" w:lineRule="auto"/>
        <w:ind w:left="0"/>
        <w:jc w:val="both"/>
        <w:rPr>
          <w:rFonts w:ascii="Arial" w:eastAsia="Arial" w:hAnsi="Arial" w:cs="Arial"/>
          <w:b/>
          <w:bCs/>
        </w:rPr>
      </w:pPr>
      <w:r>
        <w:rPr>
          <w:rFonts w:ascii="Arial" w:eastAsia="Arial" w:hAnsi="Arial" w:cs="Arial"/>
          <w:b/>
          <w:bCs/>
        </w:rPr>
        <w:t>TRANSITION PLAN IMPLEMENTATION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In addressing Question 4b), Cogeco argued against the prioritization of specific spectrum blocks, such as FDD uplink, during the transition. Instead, we advocated for a “flash-cut” or single-date cut-over within each market to ensure all FDD spectrum conve</w:t>
      </w:r>
      <w:r>
        <w:rPr>
          <w:rFonts w:ascii="Arial" w:eastAsia="Arial" w:hAnsi="Arial" w:cs="Arial"/>
        </w:rPr>
        <w:t>rts to TDD simultaneously. This unified approach is the most effective way to prevent the complex interference scenarios that arise when FDD and TDD systems operate in close proximity. A clean, coordinated transition will simplify network management and pr</w:t>
      </w:r>
      <w:r>
        <w:rPr>
          <w:rFonts w:ascii="Arial" w:eastAsia="Arial" w:hAnsi="Arial" w:cs="Arial"/>
        </w:rPr>
        <w:t>ovide a more stable environment for consumers during the migration.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Of the interveners who commented on this issue</w:t>
      </w:r>
      <w:r>
        <w:rPr>
          <w:rFonts w:ascii="Arial" w:eastAsia="Arial" w:hAnsi="Arial" w:cs="Arial"/>
          <w:vertAlign w:val="superscript"/>
        </w:rPr>
        <w:footnoteReference w:id="10"/>
      </w:r>
      <w:r>
        <w:rPr>
          <w:rFonts w:ascii="Arial" w:eastAsia="Arial" w:hAnsi="Arial" w:cs="Arial"/>
        </w:rPr>
        <w:t>, there is a clear consensus with Cogeco’s position. Specifically, Bell, Eastlink, Ecotel, Quebecor, Rogers, SaskTel, Telus and Xplore do not</w:t>
      </w:r>
      <w:r>
        <w:rPr>
          <w:rFonts w:ascii="Arial" w:eastAsia="Arial" w:hAnsi="Arial" w:cs="Arial"/>
        </w:rPr>
        <w:t xml:space="preserve"> support the prioritization of any portions of the spectrum band during the transition.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For example, Ecotel notes “[</w:t>
      </w:r>
      <w:proofErr w:type="spellStart"/>
      <w:r>
        <w:rPr>
          <w:rFonts w:ascii="Arial" w:eastAsia="Arial" w:hAnsi="Arial" w:cs="Arial"/>
        </w:rPr>
        <w:t>i</w:t>
      </w:r>
      <w:proofErr w:type="spellEnd"/>
      <w:r>
        <w:rPr>
          <w:rFonts w:ascii="Arial" w:eastAsia="Arial" w:hAnsi="Arial" w:cs="Arial"/>
        </w:rPr>
        <w:t>]n this context, a flash-cut (hard cut-over) transition approach is likely the most appropriate option to ensure operational continuity and</w:t>
      </w:r>
      <w:r>
        <w:rPr>
          <w:rFonts w:ascii="Arial" w:eastAsia="Arial" w:hAnsi="Arial" w:cs="Arial"/>
        </w:rPr>
        <w:t xml:space="preserve"> minimize service disruption.”</w:t>
      </w:r>
      <w:r>
        <w:rPr>
          <w:rFonts w:ascii="Arial" w:eastAsia="Arial" w:hAnsi="Arial" w:cs="Arial"/>
          <w:vertAlign w:val="superscript"/>
        </w:rPr>
        <w:footnoteReference w:id="11"/>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lastRenderedPageBreak/>
        <w:t>Eastlink agrees and notes that</w:t>
      </w:r>
    </w:p>
    <w:p w:rsidR="00A21C2A" w:rsidRDefault="008362DB">
      <w:pPr>
        <w:pBdr>
          <w:top w:val="nil"/>
          <w:left w:val="nil"/>
          <w:bottom w:val="nil"/>
          <w:right w:val="nil"/>
          <w:between w:val="nil"/>
        </w:pBdr>
        <w:spacing w:after="120" w:line="276" w:lineRule="auto"/>
        <w:ind w:left="720" w:firstLine="0"/>
        <w:jc w:val="both"/>
        <w:rPr>
          <w:rFonts w:ascii="Arial" w:eastAsia="Arial" w:hAnsi="Arial" w:cs="Arial"/>
          <w:i/>
          <w:iCs/>
        </w:rPr>
      </w:pPr>
      <w:r>
        <w:rPr>
          <w:rFonts w:ascii="Arial" w:eastAsia="Arial" w:hAnsi="Arial" w:cs="Arial"/>
          <w:i/>
          <w:iCs/>
        </w:rPr>
        <w:t>[a] partial transition of the band is impractical due to an increased risk of interference with adjacent providers’ spectrum. There is no practical or economical solution Eastlink is aware of t</w:t>
      </w:r>
      <w:r>
        <w:rPr>
          <w:rFonts w:ascii="Arial" w:eastAsia="Arial" w:hAnsi="Arial" w:cs="Arial"/>
          <w:i/>
          <w:iCs/>
        </w:rPr>
        <w:t>o allow TDD and FDD systems to co-exist. Therefore, it is both more cost-effective and will result in the least disruption if the entire band is transitioned at the same time within each area.</w:t>
      </w:r>
      <w:r>
        <w:rPr>
          <w:rFonts w:ascii="Arial" w:eastAsia="Arial" w:hAnsi="Arial" w:cs="Arial"/>
          <w:i/>
          <w:iCs/>
          <w:vertAlign w:val="superscript"/>
        </w:rPr>
        <w:footnoteReference w:id="12"/>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Finally, there is strong support from Bell</w:t>
      </w:r>
      <w:r>
        <w:rPr>
          <w:rFonts w:ascii="Arial" w:eastAsia="Arial" w:hAnsi="Arial" w:cs="Arial"/>
          <w:vertAlign w:val="superscript"/>
        </w:rPr>
        <w:footnoteReference w:id="13"/>
      </w:r>
      <w:r>
        <w:rPr>
          <w:rFonts w:ascii="Arial" w:eastAsia="Arial" w:hAnsi="Arial" w:cs="Arial"/>
        </w:rPr>
        <w:t>, SaskTel</w:t>
      </w:r>
      <w:r>
        <w:rPr>
          <w:rFonts w:ascii="Arial" w:eastAsia="Arial" w:hAnsi="Arial" w:cs="Arial"/>
          <w:vertAlign w:val="superscript"/>
        </w:rPr>
        <w:footnoteReference w:id="14"/>
      </w:r>
      <w:r>
        <w:rPr>
          <w:rFonts w:ascii="Arial" w:eastAsia="Arial" w:hAnsi="Arial" w:cs="Arial"/>
        </w:rPr>
        <w:t xml:space="preserve"> and Telu</w:t>
      </w:r>
      <w:r>
        <w:rPr>
          <w:rFonts w:ascii="Arial" w:eastAsia="Arial" w:hAnsi="Arial" w:cs="Arial"/>
        </w:rPr>
        <w:t>s</w:t>
      </w:r>
      <w:r>
        <w:rPr>
          <w:rFonts w:ascii="Arial" w:eastAsia="Arial" w:hAnsi="Arial" w:cs="Arial"/>
          <w:vertAlign w:val="superscript"/>
        </w:rPr>
        <w:footnoteReference w:id="15"/>
      </w:r>
      <w:r>
        <w:rPr>
          <w:rFonts w:ascii="Arial" w:eastAsia="Arial" w:hAnsi="Arial" w:cs="Arial"/>
        </w:rPr>
        <w:t xml:space="preserve"> for Band 41 radio operation in a downlink-only configuration in existing Band 7 blocks before the transition. As explained by Bell,</w:t>
      </w:r>
    </w:p>
    <w:p w:rsidR="00A21C2A" w:rsidRDefault="008362DB">
      <w:pPr>
        <w:pBdr>
          <w:top w:val="nil"/>
          <w:left w:val="nil"/>
          <w:bottom w:val="nil"/>
          <w:right w:val="nil"/>
          <w:between w:val="nil"/>
        </w:pBdr>
        <w:spacing w:after="120" w:line="276" w:lineRule="auto"/>
        <w:ind w:left="720" w:firstLine="0"/>
        <w:jc w:val="both"/>
        <w:rPr>
          <w:rFonts w:ascii="Arial" w:eastAsia="Arial" w:hAnsi="Arial" w:cs="Arial"/>
          <w:i/>
          <w:iCs/>
        </w:rPr>
      </w:pPr>
      <w:r>
        <w:rPr>
          <w:rFonts w:ascii="Arial" w:eastAsia="Arial" w:hAnsi="Arial" w:cs="Arial"/>
          <w:i/>
          <w:iCs/>
        </w:rPr>
        <w:t xml:space="preserve">However, at the 2500 MHz spectrum licensees’ discretion, they will be allowed to use Band 41 TDD operation in the Band 7 </w:t>
      </w:r>
      <w:r>
        <w:rPr>
          <w:rFonts w:ascii="Arial" w:eastAsia="Arial" w:hAnsi="Arial" w:cs="Arial"/>
          <w:i/>
          <w:iCs/>
        </w:rPr>
        <w:t>downlink portion of the 2500 MHz spectrum band but only as supplemental downlink (i.e., there will be no Band 41 uplink use). This hybrid band plan will remain in place until the industry determined transition deadline, at which point there will be a compl</w:t>
      </w:r>
      <w:r>
        <w:rPr>
          <w:rFonts w:ascii="Arial" w:eastAsia="Arial" w:hAnsi="Arial" w:cs="Arial"/>
          <w:i/>
          <w:iCs/>
        </w:rPr>
        <w:t>ete switch from FDD operations to TDD operations.</w:t>
      </w:r>
      <w:r>
        <w:rPr>
          <w:rFonts w:ascii="Arial" w:eastAsia="Arial" w:hAnsi="Arial" w:cs="Arial"/>
          <w:i/>
          <w:iCs/>
          <w:vertAlign w:val="superscript"/>
        </w:rPr>
        <w:footnoteReference w:id="16"/>
      </w:r>
    </w:p>
    <w:p w:rsidR="00A21C2A" w:rsidRDefault="00A21C2A">
      <w:pPr>
        <w:pBdr>
          <w:top w:val="nil"/>
          <w:left w:val="nil"/>
          <w:bottom w:val="nil"/>
          <w:right w:val="nil"/>
          <w:between w:val="nil"/>
        </w:pBdr>
        <w:spacing w:after="120" w:line="276" w:lineRule="auto"/>
        <w:ind w:firstLine="0"/>
        <w:jc w:val="both"/>
        <w:rPr>
          <w:rFonts w:ascii="Arial" w:eastAsia="Arial" w:hAnsi="Arial" w:cs="Arial"/>
        </w:rPr>
      </w:pPr>
    </w:p>
    <w:p w:rsidR="00A21C2A" w:rsidRDefault="008362DB">
      <w:pPr>
        <w:widowControl w:val="0"/>
        <w:numPr>
          <w:ilvl w:val="0"/>
          <w:numId w:val="1"/>
        </w:numPr>
        <w:pBdr>
          <w:top w:val="nil"/>
          <w:left w:val="nil"/>
          <w:bottom w:val="nil"/>
          <w:right w:val="nil"/>
          <w:between w:val="nil"/>
        </w:pBdr>
        <w:spacing w:after="200" w:line="276" w:lineRule="auto"/>
        <w:ind w:left="0"/>
        <w:jc w:val="both"/>
        <w:rPr>
          <w:rFonts w:ascii="Arial" w:eastAsia="Arial" w:hAnsi="Arial" w:cs="Arial"/>
          <w:b/>
          <w:bCs/>
        </w:rPr>
      </w:pPr>
      <w:r>
        <w:rPr>
          <w:rFonts w:ascii="Arial" w:eastAsia="Arial" w:hAnsi="Arial" w:cs="Arial"/>
          <w:b/>
          <w:bCs/>
        </w:rPr>
        <w:t>CONTIGUOUS SPECTRUM AND THE GUARD BANDS</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In response to Q4c), we argued that obtaining contiguous spectrum blocks should be a priority of the transition as 5G networks are designed to work with large channels and are limited in aggregation by breaking apart spectrum into smaller channels.</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There i</w:t>
      </w:r>
      <w:r>
        <w:rPr>
          <w:rFonts w:ascii="Arial" w:eastAsia="Arial" w:hAnsi="Arial" w:cs="Arial"/>
        </w:rPr>
        <w:t>s again unanimous consensus on this issue. Bell, Eastlink and Ecotel all agree with Ecotel noting that “[f]or obvious operational efficiency reasons, in any given tier, each licensee, should end up at the end of the transition with contiguous blocks of spe</w:t>
      </w:r>
      <w:r>
        <w:rPr>
          <w:rFonts w:ascii="Arial" w:eastAsia="Arial" w:hAnsi="Arial" w:cs="Arial"/>
        </w:rPr>
        <w:t>ctrum.”</w:t>
      </w:r>
      <w:r>
        <w:rPr>
          <w:rFonts w:ascii="Arial" w:eastAsia="Arial" w:hAnsi="Arial" w:cs="Arial"/>
          <w:vertAlign w:val="superscript"/>
        </w:rPr>
        <w:footnoteReference w:id="17"/>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However, Cogeco is deeply concerned by Rogers’ proposal to appropriate currently assigned guard bands, as it represents an unprecedented regulatory threat to licensee stability. Rogers proposed that the two 5 MHz restricted bands (2570-2575 MHz and 2615-26</w:t>
      </w:r>
      <w:r>
        <w:rPr>
          <w:rFonts w:ascii="Arial" w:eastAsia="Arial" w:hAnsi="Arial" w:cs="Arial"/>
        </w:rPr>
        <w:t xml:space="preserve">20 MHz) be included in a future spectrum auction, going so far as to suggest that “the Department also include any assigned guard </w:t>
      </w:r>
      <w:r>
        <w:rPr>
          <w:rFonts w:ascii="Arial" w:eastAsia="Arial" w:hAnsi="Arial" w:cs="Arial"/>
        </w:rPr>
        <w:lastRenderedPageBreak/>
        <w:t>band to make a 10 MHz TDD block available for auction at the Tier 3 licence area across the country.”</w:t>
      </w:r>
      <w:r>
        <w:rPr>
          <w:rFonts w:ascii="Arial" w:eastAsia="Arial" w:hAnsi="Arial" w:cs="Arial"/>
          <w:vertAlign w:val="superscript"/>
        </w:rPr>
        <w:footnoteReference w:id="18"/>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Cogeco strongly opposes</w:t>
      </w:r>
      <w:r>
        <w:rPr>
          <w:rFonts w:ascii="Arial" w:eastAsia="Arial" w:hAnsi="Arial" w:cs="Arial"/>
        </w:rPr>
        <w:t xml:space="preserve"> Rogers’ suggestion that ISED appropriate currently assigned guard bands from existing licensees. While we support licensing </w:t>
      </w:r>
      <w:r>
        <w:rPr>
          <w:rFonts w:ascii="Arial" w:eastAsia="Arial" w:hAnsi="Arial" w:cs="Arial"/>
          <w:i/>
          <w:iCs/>
        </w:rPr>
        <w:t xml:space="preserve">unassigned </w:t>
      </w:r>
      <w:r>
        <w:rPr>
          <w:rFonts w:ascii="Arial" w:eastAsia="Arial" w:hAnsi="Arial" w:cs="Arial"/>
        </w:rPr>
        <w:t>guard bands in a future licensing process (as well as the unassigned 2496-2500 MHz block to expand the band to global n4</w:t>
      </w:r>
      <w:r>
        <w:rPr>
          <w:rFonts w:ascii="Arial" w:eastAsia="Arial" w:hAnsi="Arial" w:cs="Arial"/>
        </w:rPr>
        <w:t xml:space="preserve">1 standards), this proposed seizure of existing assets is unjustified, as many of these licences remain within their initial terms. </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The industry’s shift towards a unified TDD configuration, does not grant the Department the right to unilaterally revoke sp</w:t>
      </w:r>
      <w:r>
        <w:rPr>
          <w:rFonts w:ascii="Arial" w:eastAsia="Arial" w:hAnsi="Arial" w:cs="Arial"/>
        </w:rPr>
        <w:t xml:space="preserve">ectrum rights without due process. Appropriating these assigned blocks would fundamentally undermine regulatory certainty and unfairly penalize operators who have acted in good faith to develop their licensed holdings. Such a forced reclamation would also </w:t>
      </w:r>
      <w:r>
        <w:rPr>
          <w:rFonts w:ascii="Arial" w:eastAsia="Arial" w:hAnsi="Arial" w:cs="Arial"/>
        </w:rPr>
        <w:t xml:space="preserve">set a dangerous precedent for future spectrum management in Canada, jeopardizing the long-term capital investments that licensees must be assured are protected for the duration of these licence terms. </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Moreover, the notion that spectrum blocks must be cons</w:t>
      </w:r>
      <w:r>
        <w:rPr>
          <w:rFonts w:ascii="Arial" w:eastAsia="Arial" w:hAnsi="Arial" w:cs="Arial"/>
        </w:rPr>
        <w:t>olidated into 10 MHz increments is technically unfounded, as both LTE and 5G NR standards natively support diverse block sizes, including 5, 15, and 20 MHz configurations.</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Cogeco proposes for licensees to retain their existing rights to assigned guard band</w:t>
      </w:r>
      <w:r>
        <w:rPr>
          <w:rFonts w:ascii="Arial" w:eastAsia="Arial" w:hAnsi="Arial" w:cs="Arial"/>
        </w:rPr>
        <w:t xml:space="preserve">s. The revamped band plan could easily accommodate 5 MHz spectrum holdings by </w:t>
      </w:r>
      <w:r>
        <w:rPr>
          <w:rFonts w:ascii="Arial" w:eastAsia="Arial" w:hAnsi="Arial" w:cs="Arial"/>
        </w:rPr>
        <w:t>designating new blocks as A1, A2, B1, B2, and so forth, thereby fully respecting current spectrum rights without necessitating artificial consolidation.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Nevertheless, should the</w:t>
      </w:r>
      <w:r>
        <w:rPr>
          <w:rFonts w:ascii="Arial" w:eastAsia="Arial" w:hAnsi="Arial" w:cs="Arial"/>
        </w:rPr>
        <w:t xml:space="preserve"> Department proceed with the reclamation of these bands - despite the severe policy and legal risks - it is imperative that such a measure be accompanied by a transparent valuation and compensation framework. This framework must accurately reflect the true</w:t>
      </w:r>
      <w:r>
        <w:rPr>
          <w:rFonts w:ascii="Arial" w:eastAsia="Arial" w:hAnsi="Arial" w:cs="Arial"/>
        </w:rPr>
        <w:t xml:space="preserve"> market value and the sunk costs incurred by current holders, acknowledging that licensees have already committed significant capital based on the long-term certainty of their spectrum rights.</w:t>
      </w:r>
    </w:p>
    <w:p w:rsidR="00A21C2A" w:rsidRDefault="00A21C2A">
      <w:pPr>
        <w:spacing w:after="120"/>
        <w:ind w:firstLine="0"/>
        <w:jc w:val="both"/>
        <w:rPr>
          <w:rFonts w:ascii="Arial" w:eastAsia="Arial" w:hAnsi="Arial" w:cs="Arial"/>
        </w:rPr>
      </w:pPr>
    </w:p>
    <w:p w:rsidR="00A21C2A" w:rsidRDefault="008362DB">
      <w:pPr>
        <w:widowControl w:val="0"/>
        <w:numPr>
          <w:ilvl w:val="0"/>
          <w:numId w:val="1"/>
        </w:numPr>
        <w:pBdr>
          <w:top w:val="nil"/>
          <w:left w:val="nil"/>
          <w:bottom w:val="nil"/>
          <w:right w:val="nil"/>
          <w:between w:val="nil"/>
        </w:pBdr>
        <w:spacing w:after="200" w:line="276" w:lineRule="auto"/>
        <w:ind w:left="0"/>
        <w:jc w:val="both"/>
        <w:rPr>
          <w:rFonts w:ascii="Arial" w:eastAsia="Arial" w:hAnsi="Arial" w:cs="Arial"/>
          <w:b/>
          <w:bCs/>
        </w:rPr>
      </w:pPr>
      <w:r>
        <w:rPr>
          <w:rFonts w:ascii="Arial" w:eastAsia="Arial" w:hAnsi="Arial" w:cs="Arial"/>
          <w:b/>
          <w:bCs/>
        </w:rPr>
        <w:t>CONCLUSION</w:t>
      </w:r>
    </w:p>
    <w:p w:rsidR="00A21C2A" w:rsidRDefault="008362DB" w:rsidP="00D65C08">
      <w:pPr>
        <w:numPr>
          <w:ilvl w:val="0"/>
          <w:numId w:val="2"/>
        </w:numPr>
        <w:pBdr>
          <w:top w:val="nil"/>
          <w:left w:val="nil"/>
          <w:bottom w:val="nil"/>
          <w:right w:val="nil"/>
          <w:between w:val="nil"/>
        </w:pBdr>
        <w:spacing w:after="120" w:line="276" w:lineRule="auto"/>
        <w:ind w:left="539" w:hanging="539"/>
        <w:jc w:val="both"/>
      </w:pPr>
      <w:r>
        <w:rPr>
          <w:rFonts w:ascii="Arial" w:eastAsia="Arial" w:hAnsi="Arial" w:cs="Arial"/>
        </w:rPr>
        <w:t xml:space="preserve">By adopting these recommendations, ISED will not only achieve its core policy objectives but also establish a regulatory framework that encourages innovation and healthy competition. This balanced approach acknowledges the financial </w:t>
      </w:r>
      <w:r>
        <w:rPr>
          <w:rFonts w:ascii="Arial" w:eastAsia="Arial" w:hAnsi="Arial" w:cs="Arial"/>
        </w:rPr>
        <w:lastRenderedPageBreak/>
        <w:t>realities of network op</w:t>
      </w:r>
      <w:r>
        <w:rPr>
          <w:rFonts w:ascii="Arial" w:eastAsia="Arial" w:hAnsi="Arial" w:cs="Arial"/>
        </w:rPr>
        <w:t>erators while paving the way for the full potential of mid-band spectrum to be realized for the benefit of all Canadians. Cogeco maintains that providing immediate regulatory certainty regarding deployment obligations and the transition schedule is the mos</w:t>
      </w:r>
      <w:r>
        <w:rPr>
          <w:rFonts w:ascii="Arial" w:eastAsia="Arial" w:hAnsi="Arial" w:cs="Arial"/>
        </w:rPr>
        <w:t>t effective way to protect regional competition and ensure that 5G infrastructure investment is deployed efficiently across all provinces and territories.</w:t>
      </w:r>
    </w:p>
    <w:p w:rsidR="00A21C2A" w:rsidRDefault="00A21C2A">
      <w:pPr>
        <w:tabs>
          <w:tab w:val="left" w:pos="540"/>
        </w:tabs>
        <w:spacing w:after="240" w:line="276" w:lineRule="auto"/>
        <w:ind w:hanging="2"/>
        <w:jc w:val="center"/>
        <w:rPr>
          <w:rFonts w:ascii="Arial" w:eastAsia="Arial" w:hAnsi="Arial" w:cs="Arial"/>
          <w:b/>
          <w:bCs/>
          <w:highlight w:val="yellow"/>
        </w:rPr>
      </w:pPr>
    </w:p>
    <w:p w:rsidR="00A21C2A" w:rsidRDefault="008362DB">
      <w:pPr>
        <w:tabs>
          <w:tab w:val="left" w:pos="540"/>
        </w:tabs>
        <w:spacing w:after="240" w:line="276" w:lineRule="auto"/>
        <w:ind w:hanging="2"/>
        <w:jc w:val="center"/>
        <w:rPr>
          <w:rFonts w:ascii="Arial" w:eastAsia="Arial" w:hAnsi="Arial" w:cs="Arial"/>
          <w:b/>
          <w:bCs/>
        </w:rPr>
      </w:pPr>
      <w:r>
        <w:rPr>
          <w:rFonts w:ascii="Arial" w:eastAsia="Arial" w:hAnsi="Arial" w:cs="Arial"/>
          <w:b/>
          <w:bCs/>
          <w:highlight w:val="yellow"/>
        </w:rPr>
        <w:t>*** End of document ***</w:t>
      </w:r>
    </w:p>
    <w:sectPr w:rsidR="00A21C2A">
      <w:headerReference w:type="default" r:id="rId15"/>
      <w:headerReference w:type="first" r:id="rId16"/>
      <w:pgSz w:w="12240" w:h="15840"/>
      <w:pgMar w:top="1418" w:right="1418" w:bottom="1095" w:left="189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0000" w:rsidRDefault="008362DB">
      <w:r>
        <w:separator/>
      </w:r>
    </w:p>
  </w:endnote>
  <w:endnote w:type="continuationSeparator" w:id="0">
    <w:p w:rsidR="00000000" w:rsidRDefault="008362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B13E7132-931D-48FF-A3CE-4AD829365F9F}"/>
  </w:font>
  <w:font w:name="Calibri">
    <w:panose1 w:val="020F0502020204030204"/>
    <w:charset w:val="00"/>
    <w:family w:val="swiss"/>
    <w:pitch w:val="variable"/>
    <w:sig w:usb0="E0002AFF" w:usb1="4000ACFF" w:usb2="00000001" w:usb3="00000000" w:csb0="000001FF" w:csb1="00000000"/>
    <w:embedRegular r:id="rId2" w:fontKey="{B27EBBAD-3817-4143-8E62-1633BBE5EEF7}"/>
  </w:font>
  <w:font w:name="Cambria">
    <w:panose1 w:val="02040503050406030204"/>
    <w:charset w:val="00"/>
    <w:family w:val="roman"/>
    <w:pitch w:val="variable"/>
    <w:sig w:usb0="A00002EF" w:usb1="4000004B" w:usb2="00000000" w:usb3="00000000" w:csb0="0000019F" w:csb1="00000000"/>
    <w:embedRegular r:id="rId3" w:fontKey="{285789B7-392E-4B26-A34A-CB92D47C305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1C2A" w:rsidRDefault="00A21C2A">
    <w:pPr>
      <w:pBdr>
        <w:top w:val="nil"/>
        <w:left w:val="nil"/>
        <w:bottom w:val="nil"/>
        <w:right w:val="nil"/>
        <w:between w:val="nil"/>
      </w:pBdr>
      <w:tabs>
        <w:tab w:val="center" w:pos="4320"/>
        <w:tab w:val="right" w:pos="8640"/>
      </w:tabs>
      <w:ind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1C2A" w:rsidRDefault="00A21C2A">
    <w:pPr>
      <w:pBdr>
        <w:top w:val="nil"/>
        <w:left w:val="nil"/>
        <w:bottom w:val="nil"/>
        <w:right w:val="nil"/>
        <w:between w:val="nil"/>
      </w:pBdr>
      <w:tabs>
        <w:tab w:val="center" w:pos="4320"/>
        <w:tab w:val="right" w:pos="8640"/>
      </w:tabs>
      <w:ind w:hanging="2"/>
      <w:rPr>
        <w:rFonts w:ascii="Arial" w:eastAsia="Arial" w:hAnsi="Arial" w:cs="Arial"/>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1C2A" w:rsidRDefault="00A21C2A">
    <w:pPr>
      <w:pBdr>
        <w:top w:val="nil"/>
        <w:left w:val="nil"/>
        <w:bottom w:val="nil"/>
        <w:right w:val="nil"/>
        <w:between w:val="nil"/>
      </w:pBdr>
      <w:tabs>
        <w:tab w:val="center" w:pos="4320"/>
        <w:tab w:val="right" w:pos="8640"/>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0000" w:rsidRDefault="008362DB">
      <w:r>
        <w:separator/>
      </w:r>
    </w:p>
  </w:footnote>
  <w:footnote w:type="continuationSeparator" w:id="0">
    <w:p w:rsidR="00000000" w:rsidRDefault="008362DB">
      <w:r>
        <w:continuationSeparator/>
      </w:r>
    </w:p>
  </w:footnote>
  <w:footnote w:id="1">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Cogeco; Bell Mobi</w:t>
      </w:r>
      <w:r w:rsidRPr="00D65C08">
        <w:rPr>
          <w:rFonts w:ascii="Arial" w:hAnsi="Arial" w:cs="Arial"/>
          <w:sz w:val="18"/>
          <w:szCs w:val="18"/>
        </w:rPr>
        <w:t xml:space="preserve">lity Inc. </w:t>
      </w:r>
      <w:r w:rsidRPr="00D65C08">
        <w:rPr>
          <w:rFonts w:ascii="Arial" w:hAnsi="Arial" w:cs="Arial"/>
          <w:b/>
          <w:bCs/>
          <w:sz w:val="18"/>
          <w:szCs w:val="18"/>
        </w:rPr>
        <w:t>(Bell)</w:t>
      </w:r>
      <w:r w:rsidRPr="00D65C08">
        <w:rPr>
          <w:rFonts w:ascii="Arial" w:hAnsi="Arial" w:cs="Arial"/>
          <w:sz w:val="18"/>
          <w:szCs w:val="18"/>
        </w:rPr>
        <w:t xml:space="preserve">; Ecotel Inc. </w:t>
      </w:r>
      <w:r w:rsidRPr="00D65C08">
        <w:rPr>
          <w:rFonts w:ascii="Arial" w:hAnsi="Arial" w:cs="Arial"/>
          <w:b/>
          <w:bCs/>
          <w:sz w:val="18"/>
          <w:szCs w:val="18"/>
        </w:rPr>
        <w:t>(Ecotel)</w:t>
      </w:r>
      <w:r w:rsidRPr="00D65C08">
        <w:rPr>
          <w:rFonts w:ascii="Arial" w:hAnsi="Arial" w:cs="Arial"/>
          <w:sz w:val="18"/>
          <w:szCs w:val="18"/>
        </w:rPr>
        <w:t xml:space="preserve">; Globalstar Inc. </w:t>
      </w:r>
      <w:r w:rsidRPr="00D65C08">
        <w:rPr>
          <w:rFonts w:ascii="Arial" w:hAnsi="Arial" w:cs="Arial"/>
          <w:b/>
          <w:bCs/>
          <w:sz w:val="18"/>
          <w:szCs w:val="18"/>
        </w:rPr>
        <w:t>(Globalstar)</w:t>
      </w:r>
      <w:r w:rsidRPr="00D65C08">
        <w:rPr>
          <w:rFonts w:ascii="Arial" w:hAnsi="Arial" w:cs="Arial"/>
          <w:sz w:val="18"/>
          <w:szCs w:val="18"/>
        </w:rPr>
        <w:t xml:space="preserve">; the GSMA; Nokia Canada </w:t>
      </w:r>
      <w:r w:rsidRPr="00D65C08">
        <w:rPr>
          <w:rFonts w:ascii="Arial" w:hAnsi="Arial" w:cs="Arial"/>
          <w:b/>
          <w:bCs/>
          <w:sz w:val="18"/>
          <w:szCs w:val="18"/>
        </w:rPr>
        <w:t>(Nokia)</w:t>
      </w:r>
      <w:r w:rsidRPr="00D65C08">
        <w:rPr>
          <w:rFonts w:ascii="Arial" w:hAnsi="Arial" w:cs="Arial"/>
          <w:sz w:val="18"/>
          <w:szCs w:val="18"/>
        </w:rPr>
        <w:t xml:space="preserve">; Quebecor Media, on its own behalf and on behalf of its wholly owned subsidiary Videotron </w:t>
      </w:r>
      <w:r w:rsidRPr="00D65C08">
        <w:rPr>
          <w:rFonts w:ascii="Arial" w:hAnsi="Arial" w:cs="Arial"/>
          <w:b/>
          <w:bCs/>
          <w:sz w:val="18"/>
          <w:szCs w:val="18"/>
        </w:rPr>
        <w:t>(Quebecor)</w:t>
      </w:r>
      <w:r w:rsidRPr="00D65C08">
        <w:rPr>
          <w:rFonts w:ascii="Arial" w:hAnsi="Arial" w:cs="Arial"/>
          <w:sz w:val="18"/>
          <w:szCs w:val="18"/>
        </w:rPr>
        <w:t xml:space="preserve">; Rogers Communications Canada Inc. </w:t>
      </w:r>
      <w:r w:rsidRPr="00D65C08">
        <w:rPr>
          <w:rFonts w:ascii="Arial" w:hAnsi="Arial" w:cs="Arial"/>
          <w:b/>
          <w:bCs/>
          <w:sz w:val="18"/>
          <w:szCs w:val="18"/>
        </w:rPr>
        <w:t>(Rogers)</w:t>
      </w:r>
      <w:r w:rsidRPr="00D65C08">
        <w:rPr>
          <w:rFonts w:ascii="Arial" w:hAnsi="Arial" w:cs="Arial"/>
          <w:sz w:val="18"/>
          <w:szCs w:val="18"/>
        </w:rPr>
        <w:t>; Saskatche</w:t>
      </w:r>
      <w:r w:rsidRPr="00D65C08">
        <w:rPr>
          <w:rFonts w:ascii="Arial" w:hAnsi="Arial" w:cs="Arial"/>
          <w:sz w:val="18"/>
          <w:szCs w:val="18"/>
        </w:rPr>
        <w:t xml:space="preserve">wan Telecommunications </w:t>
      </w:r>
      <w:r w:rsidRPr="00D65C08">
        <w:rPr>
          <w:rFonts w:ascii="Arial" w:hAnsi="Arial" w:cs="Arial"/>
          <w:b/>
          <w:bCs/>
          <w:sz w:val="18"/>
          <w:szCs w:val="18"/>
        </w:rPr>
        <w:t>(SaskTel)</w:t>
      </w:r>
      <w:r w:rsidRPr="00D65C08">
        <w:rPr>
          <w:rFonts w:ascii="Arial" w:hAnsi="Arial" w:cs="Arial"/>
          <w:sz w:val="18"/>
          <w:szCs w:val="18"/>
        </w:rPr>
        <w:t xml:space="preserve">; Telus Communications Inc. </w:t>
      </w:r>
      <w:r w:rsidRPr="00D65C08">
        <w:rPr>
          <w:rFonts w:ascii="Arial" w:hAnsi="Arial" w:cs="Arial"/>
          <w:b/>
          <w:bCs/>
          <w:sz w:val="18"/>
          <w:szCs w:val="18"/>
        </w:rPr>
        <w:t>(Telus)</w:t>
      </w:r>
      <w:r w:rsidRPr="00D65C08">
        <w:rPr>
          <w:rFonts w:ascii="Arial" w:hAnsi="Arial" w:cs="Arial"/>
          <w:sz w:val="18"/>
          <w:szCs w:val="18"/>
        </w:rPr>
        <w:t xml:space="preserve">; and Xplore Inc., on behalf of itself and its affiliate Xplore Spectrum 1 Network Limited Partnership </w:t>
      </w:r>
      <w:r w:rsidRPr="00D65C08">
        <w:rPr>
          <w:rFonts w:ascii="Arial" w:hAnsi="Arial" w:cs="Arial"/>
          <w:b/>
          <w:bCs/>
          <w:sz w:val="18"/>
          <w:szCs w:val="18"/>
        </w:rPr>
        <w:t>(Xplore)</w:t>
      </w:r>
      <w:r w:rsidRPr="00D65C08">
        <w:rPr>
          <w:rFonts w:ascii="Arial" w:hAnsi="Arial" w:cs="Arial"/>
          <w:sz w:val="18"/>
          <w:szCs w:val="18"/>
        </w:rPr>
        <w:t>, are all in support of the proposed band plan.</w:t>
      </w:r>
    </w:p>
  </w:footnote>
  <w:footnote w:id="2">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Bell, para. 8.</w:t>
      </w:r>
    </w:p>
  </w:footnote>
  <w:footnote w:id="3">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Eastlink, para. 8.</w:t>
      </w:r>
    </w:p>
  </w:footnote>
  <w:footnote w:id="4">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Nokia, page 2. </w:t>
      </w:r>
    </w:p>
  </w:footnote>
  <w:footnote w:id="5">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Telus, para. 9.</w:t>
      </w:r>
    </w:p>
  </w:footnote>
  <w:footnote w:id="6">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Eastlink, para. 16.</w:t>
      </w:r>
    </w:p>
  </w:footnote>
  <w:footnote w:id="7">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Bell, para 18.</w:t>
      </w:r>
    </w:p>
  </w:footnote>
  <w:footnote w:id="8">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Eastlink, para. 14.</w:t>
      </w:r>
    </w:p>
  </w:footnote>
  <w:footnote w:id="9">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Telus, para. 48.</w:t>
      </w:r>
    </w:p>
  </w:footnote>
  <w:footnote w:id="10">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Nokia Canada, the GSMA and Globalstar did not comment on this question.</w:t>
      </w:r>
    </w:p>
  </w:footnote>
  <w:footnote w:id="11">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Ecotel, para. 25.</w:t>
      </w:r>
    </w:p>
  </w:footnote>
  <w:footnote w:id="12">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Eastlink, para.17.</w:t>
      </w:r>
    </w:p>
  </w:footnote>
  <w:footnote w:id="13">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Bell, para. 23.</w:t>
      </w:r>
    </w:p>
  </w:footnote>
  <w:footnote w:id="14">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SaskTel, para. 23.</w:t>
      </w:r>
    </w:p>
  </w:footnote>
  <w:footnote w:id="15">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Telus, para. 60.</w:t>
      </w:r>
    </w:p>
  </w:footnote>
  <w:footnote w:id="16">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Bell, para. 23.</w:t>
      </w:r>
    </w:p>
  </w:footnote>
  <w:footnote w:id="17">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Ecotel, para. 26.</w:t>
      </w:r>
    </w:p>
  </w:footnote>
  <w:footnote w:id="18">
    <w:p w:rsidR="00A21C2A" w:rsidRPr="00D65C08" w:rsidRDefault="008362DB" w:rsidP="00D65C08">
      <w:pPr>
        <w:jc w:val="both"/>
        <w:rPr>
          <w:rFonts w:ascii="Arial" w:hAnsi="Arial" w:cs="Arial"/>
          <w:sz w:val="18"/>
          <w:szCs w:val="18"/>
        </w:rPr>
      </w:pPr>
      <w:r w:rsidRPr="00D65C08">
        <w:rPr>
          <w:rFonts w:ascii="Arial" w:hAnsi="Arial" w:cs="Arial"/>
          <w:sz w:val="18"/>
          <w:szCs w:val="18"/>
          <w:vertAlign w:val="superscript"/>
        </w:rPr>
        <w:footnoteRef/>
      </w:r>
      <w:r w:rsidRPr="00D65C08">
        <w:rPr>
          <w:rFonts w:ascii="Arial" w:hAnsi="Arial" w:cs="Arial"/>
          <w:sz w:val="18"/>
          <w:szCs w:val="18"/>
        </w:rPr>
        <w:t xml:space="preserve"> Comments of Rogers, para. E6.</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1C2A" w:rsidRDefault="00A21C2A">
    <w:pPr>
      <w:pBdr>
        <w:top w:val="nil"/>
        <w:left w:val="nil"/>
        <w:bottom w:val="nil"/>
        <w:right w:val="nil"/>
        <w:between w:val="nil"/>
      </w:pBdr>
      <w:tabs>
        <w:tab w:val="center" w:pos="4320"/>
        <w:tab w:val="right" w:pos="8640"/>
      </w:tabs>
      <w:ind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1C2A" w:rsidRDefault="00A21C2A">
    <w:pPr>
      <w:tabs>
        <w:tab w:val="center" w:pos="4320"/>
        <w:tab w:val="right" w:pos="8640"/>
      </w:tabs>
      <w:ind w:hanging="2"/>
      <w:jc w:val="right"/>
    </w:pPr>
  </w:p>
  <w:tbl>
    <w:tblPr>
      <w:tblStyle w:val="a0"/>
      <w:tblpPr w:leftFromText="180" w:rightFromText="180" w:topFromText="180" w:bottomFromText="180" w:vertAnchor="text"/>
      <w:tblW w:w="9180" w:type="dxa"/>
      <w:tblInd w:w="0" w:type="dxa"/>
      <w:tblBorders>
        <w:top w:val="nil"/>
        <w:left w:val="nil"/>
        <w:bottom w:val="single" w:sz="12" w:space="0" w:color="000000"/>
        <w:right w:val="nil"/>
        <w:insideH w:val="nil"/>
        <w:insideV w:val="nil"/>
      </w:tblBorders>
      <w:tblLayout w:type="fixed"/>
      <w:tblLook w:val="0000" w:firstRow="0" w:lastRow="0" w:firstColumn="0" w:lastColumn="0" w:noHBand="0" w:noVBand="0"/>
    </w:tblPr>
    <w:tblGrid>
      <w:gridCol w:w="9180"/>
    </w:tblGrid>
    <w:tr w:rsidR="00A21C2A">
      <w:tc>
        <w:tcPr>
          <w:tcW w:w="9180" w:type="dxa"/>
        </w:tcPr>
        <w:sdt>
          <w:sdtPr>
            <w:tag w:val="goog_rdk_0"/>
            <w:id w:val="644932085"/>
            <w:lock w:val="contentLocked"/>
          </w:sdtPr>
          <w:sdtEndPr/>
          <w:sdtContent>
            <w:p w:rsidR="00A21C2A" w:rsidRDefault="008362DB">
              <w:pPr>
                <w:tabs>
                  <w:tab w:val="center" w:pos="4320"/>
                  <w:tab w:val="right" w:pos="8640"/>
                </w:tabs>
                <w:ind w:hanging="2"/>
                <w:jc w:val="right"/>
                <w:rPr>
                  <w:rFonts w:ascii="Arial" w:eastAsia="Arial" w:hAnsi="Arial" w:cs="Arial"/>
                  <w:sz w:val="20"/>
                  <w:szCs w:val="20"/>
                </w:rPr>
              </w:pPr>
              <w:r>
                <w:t xml:space="preserve">  </w:t>
              </w:r>
              <w:r>
                <w:rPr>
                  <w:rFonts w:ascii="Arial" w:eastAsia="Arial" w:hAnsi="Arial" w:cs="Arial"/>
                  <w:sz w:val="20"/>
                  <w:szCs w:val="20"/>
                </w:rPr>
                <w:t>Gazette Notice SPB-002-26</w:t>
              </w:r>
            </w:p>
            <w:p w:rsidR="00A21C2A" w:rsidRDefault="008362DB">
              <w:pPr>
                <w:tabs>
                  <w:tab w:val="center" w:pos="4320"/>
                  <w:tab w:val="right" w:pos="8640"/>
                </w:tabs>
                <w:ind w:hanging="2"/>
                <w:jc w:val="right"/>
                <w:rPr>
                  <w:rFonts w:ascii="Arial" w:eastAsia="Arial" w:hAnsi="Arial" w:cs="Arial"/>
                  <w:i/>
                  <w:iCs/>
                  <w:sz w:val="18"/>
                  <w:szCs w:val="18"/>
                </w:rPr>
              </w:pPr>
              <w:r>
                <w:rPr>
                  <w:rFonts w:ascii="Arial" w:eastAsia="Arial" w:hAnsi="Arial" w:cs="Arial"/>
                  <w:i/>
                  <w:iCs/>
                  <w:sz w:val="18"/>
                  <w:szCs w:val="18"/>
                </w:rPr>
                <w:t>Consultation on the Revisions to the 2500-2690 MHz Band Plan</w:t>
              </w:r>
            </w:p>
            <w:p w:rsidR="00A21C2A" w:rsidRDefault="008362DB">
              <w:pPr>
                <w:tabs>
                  <w:tab w:val="center" w:pos="4320"/>
                  <w:tab w:val="right" w:pos="8640"/>
                </w:tabs>
                <w:ind w:hanging="2"/>
                <w:jc w:val="right"/>
                <w:rPr>
                  <w:rFonts w:ascii="Arial" w:eastAsia="Arial" w:hAnsi="Arial" w:cs="Arial"/>
                  <w:sz w:val="22"/>
                  <w:szCs w:val="22"/>
                </w:rPr>
              </w:pPr>
              <w:r>
                <w:rPr>
                  <w:rFonts w:ascii="Arial" w:eastAsia="Arial" w:hAnsi="Arial" w:cs="Arial"/>
                  <w:b/>
                  <w:bCs/>
                  <w:sz w:val="22"/>
                  <w:szCs w:val="22"/>
                </w:rPr>
                <w:t>Reply Comments of Cogeco</w:t>
              </w:r>
            </w:p>
            <w:p w:rsidR="00A21C2A" w:rsidRDefault="008362DB">
              <w:pPr>
                <w:tabs>
                  <w:tab w:val="center" w:pos="4320"/>
                  <w:tab w:val="right" w:pos="8640"/>
                </w:tabs>
                <w:ind w:hanging="2"/>
                <w:jc w:val="right"/>
                <w:rPr>
                  <w:rFonts w:ascii="Arial" w:eastAsia="Arial" w:hAnsi="Arial" w:cs="Arial"/>
                  <w:sz w:val="18"/>
                  <w:szCs w:val="18"/>
                </w:rPr>
              </w:pPr>
              <w:r>
                <w:rPr>
                  <w:rFonts w:ascii="Arial" w:eastAsia="Arial" w:hAnsi="Arial" w:cs="Arial"/>
                  <w:sz w:val="18"/>
                  <w:szCs w:val="18"/>
                </w:rPr>
                <w:t xml:space="preserve">Page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Pr>
                  <w:rFonts w:ascii="Arial" w:eastAsia="Arial" w:hAnsi="Arial" w:cs="Arial"/>
                  <w:noProof/>
                  <w:sz w:val="18"/>
                  <w:szCs w:val="18"/>
                </w:rPr>
                <w:t>2</w:t>
              </w:r>
              <w:r>
                <w:rPr>
                  <w:rFonts w:ascii="Arial" w:eastAsia="Arial" w:hAnsi="Arial" w:cs="Arial"/>
                  <w:sz w:val="18"/>
                  <w:szCs w:val="18"/>
                </w:rPr>
                <w:fldChar w:fldCharType="end"/>
              </w:r>
              <w:r>
                <w:rPr>
                  <w:rFonts w:ascii="Arial" w:eastAsia="Arial" w:hAnsi="Arial" w:cs="Arial"/>
                  <w:sz w:val="18"/>
                  <w:szCs w:val="18"/>
                </w:rPr>
                <w:t xml:space="preserve"> of </w:t>
              </w:r>
              <w:r>
                <w:rPr>
                  <w:rFonts w:ascii="Arial" w:eastAsia="Arial" w:hAnsi="Arial" w:cs="Arial"/>
                  <w:sz w:val="18"/>
                  <w:szCs w:val="18"/>
                </w:rPr>
                <w:fldChar w:fldCharType="begin"/>
              </w:r>
              <w:r>
                <w:rPr>
                  <w:rFonts w:ascii="Arial" w:eastAsia="Arial" w:hAnsi="Arial" w:cs="Arial"/>
                  <w:sz w:val="18"/>
                  <w:szCs w:val="18"/>
                </w:rPr>
                <w:instrText>NUMPAGES</w:instrText>
              </w:r>
              <w:r>
                <w:rPr>
                  <w:rFonts w:ascii="Arial" w:eastAsia="Arial" w:hAnsi="Arial" w:cs="Arial"/>
                  <w:sz w:val="18"/>
                  <w:szCs w:val="18"/>
                </w:rPr>
                <w:fldChar w:fldCharType="separate"/>
              </w:r>
              <w:r>
                <w:rPr>
                  <w:rFonts w:ascii="Arial" w:eastAsia="Arial" w:hAnsi="Arial" w:cs="Arial"/>
                  <w:noProof/>
                  <w:sz w:val="18"/>
                  <w:szCs w:val="18"/>
                </w:rPr>
                <w:t>11</w:t>
              </w:r>
              <w:r>
                <w:rPr>
                  <w:rFonts w:ascii="Arial" w:eastAsia="Arial" w:hAnsi="Arial" w:cs="Arial"/>
                  <w:sz w:val="18"/>
                  <w:szCs w:val="18"/>
                </w:rPr>
                <w:fldChar w:fldCharType="end"/>
              </w:r>
            </w:p>
          </w:sdtContent>
        </w:sdt>
      </w:tc>
    </w:tr>
  </w:tbl>
  <w:p w:rsidR="00A21C2A" w:rsidRDefault="00A21C2A">
    <w:pPr>
      <w:tabs>
        <w:tab w:val="center" w:pos="4320"/>
        <w:tab w:val="right" w:pos="8640"/>
      </w:tabs>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1C2A" w:rsidRDefault="00A21C2A">
    <w:pPr>
      <w:widowControl w:val="0"/>
      <w:pBdr>
        <w:top w:val="nil"/>
        <w:left w:val="nil"/>
        <w:bottom w:val="nil"/>
        <w:right w:val="nil"/>
        <w:between w:val="nil"/>
      </w:pBdr>
      <w:spacing w:line="276" w:lineRule="auto"/>
      <w:ind w:firstLine="0"/>
      <w:rPr>
        <w:color w:val="000000"/>
      </w:rPr>
    </w:pPr>
  </w:p>
  <w:tbl>
    <w:tblPr>
      <w:tblStyle w:val="a1"/>
      <w:tblW w:w="9282" w:type="dxa"/>
      <w:tblInd w:w="-34" w:type="dxa"/>
      <w:tblLayout w:type="fixed"/>
      <w:tblLook w:val="0000" w:firstRow="0" w:lastRow="0" w:firstColumn="0" w:lastColumn="0" w:noHBand="0" w:noVBand="0"/>
    </w:tblPr>
    <w:tblGrid>
      <w:gridCol w:w="4401"/>
      <w:gridCol w:w="4881"/>
    </w:tblGrid>
    <w:tr w:rsidR="00A21C2A">
      <w:tc>
        <w:tcPr>
          <w:tcW w:w="4401" w:type="dxa"/>
        </w:tcPr>
        <w:p w:rsidR="00A21C2A" w:rsidRDefault="008362DB">
          <w:pPr>
            <w:pBdr>
              <w:top w:val="nil"/>
              <w:left w:val="nil"/>
              <w:bottom w:val="nil"/>
              <w:right w:val="nil"/>
              <w:between w:val="nil"/>
            </w:pBdr>
            <w:tabs>
              <w:tab w:val="center" w:pos="4320"/>
              <w:tab w:val="right" w:pos="8640"/>
            </w:tabs>
            <w:ind w:left="33" w:hanging="2"/>
            <w:rPr>
              <w:b/>
              <w:bCs/>
              <w:color w:val="000000"/>
            </w:rPr>
          </w:pPr>
          <w:r>
            <w:rPr>
              <w:noProof/>
            </w:rPr>
            <w:drawing>
              <wp:anchor distT="0" distB="0" distL="0" distR="0" simplePos="0" relativeHeight="251658240" behindDoc="1" locked="0" layoutInCell="1" hidden="0" allowOverlap="1">
                <wp:simplePos x="0" y="0"/>
                <wp:positionH relativeFrom="column">
                  <wp:posOffset>-645155</wp:posOffset>
                </wp:positionH>
                <wp:positionV relativeFrom="paragraph">
                  <wp:posOffset>45720</wp:posOffset>
                </wp:positionV>
                <wp:extent cx="2133600" cy="781050"/>
                <wp:effectExtent l="0" t="0" r="0" b="0"/>
                <wp:wrapNone/>
                <wp:docPr id="2" name="image2.png" descr="Clients A-F:Graphisme A - F:COGECO:8505D Plateforme graphique / Papeterie:8505D 4 Production:Visuel:Éléments_En-Tête_RGB:Cogeco Communications:Cogeco_Communications_Logo_P1.pdf"/>
                <wp:cNvGraphicFramePr/>
                <a:graphic xmlns:a="http://schemas.openxmlformats.org/drawingml/2006/main">
                  <a:graphicData uri="http://schemas.openxmlformats.org/drawingml/2006/picture">
                    <pic:pic xmlns:pic="http://schemas.openxmlformats.org/drawingml/2006/picture">
                      <pic:nvPicPr>
                        <pic:cNvPr id="0" name="image2.png" descr="Clients A-F:Graphisme A - F:COGECO:8505D Plateforme graphique / Papeterie:8505D 4 Production:Visuel:Éléments_En-Tête_RGB:Cogeco Communications:Cogeco_Communications_Logo_P1.pdf"/>
                        <pic:cNvPicPr preferRelativeResize="0"/>
                      </pic:nvPicPr>
                      <pic:blipFill>
                        <a:blip r:embed="rId1"/>
                        <a:srcRect/>
                        <a:stretch>
                          <a:fillRect/>
                        </a:stretch>
                      </pic:blipFill>
                      <pic:spPr>
                        <a:xfrm>
                          <a:off x="0" y="0"/>
                          <a:ext cx="2133600" cy="781050"/>
                        </a:xfrm>
                        <a:prstGeom prst="rect">
                          <a:avLst/>
                        </a:prstGeom>
                        <a:ln/>
                      </pic:spPr>
                    </pic:pic>
                  </a:graphicData>
                </a:graphic>
              </wp:anchor>
            </w:drawing>
          </w:r>
        </w:p>
        <w:p w:rsidR="00A21C2A" w:rsidRDefault="00A21C2A">
          <w:pPr>
            <w:pBdr>
              <w:top w:val="nil"/>
              <w:left w:val="nil"/>
              <w:bottom w:val="nil"/>
              <w:right w:val="nil"/>
              <w:between w:val="nil"/>
            </w:pBdr>
            <w:tabs>
              <w:tab w:val="center" w:pos="4320"/>
              <w:tab w:val="right" w:pos="8640"/>
            </w:tabs>
            <w:ind w:hanging="2"/>
            <w:rPr>
              <w:b/>
              <w:bCs/>
              <w:color w:val="000000"/>
            </w:rPr>
          </w:pPr>
        </w:p>
        <w:p w:rsidR="00A21C2A" w:rsidRDefault="00A21C2A">
          <w:pPr>
            <w:pBdr>
              <w:top w:val="nil"/>
              <w:left w:val="nil"/>
              <w:bottom w:val="nil"/>
              <w:right w:val="nil"/>
              <w:between w:val="nil"/>
            </w:pBdr>
            <w:tabs>
              <w:tab w:val="center" w:pos="4320"/>
              <w:tab w:val="right" w:pos="8640"/>
            </w:tabs>
            <w:ind w:hanging="2"/>
            <w:rPr>
              <w:b/>
              <w:bCs/>
              <w:color w:val="000000"/>
            </w:rPr>
          </w:pPr>
        </w:p>
        <w:p w:rsidR="00A21C2A" w:rsidRDefault="00A21C2A">
          <w:pPr>
            <w:pBdr>
              <w:top w:val="nil"/>
              <w:left w:val="nil"/>
              <w:bottom w:val="nil"/>
              <w:right w:val="nil"/>
              <w:between w:val="nil"/>
            </w:pBdr>
            <w:tabs>
              <w:tab w:val="center" w:pos="4320"/>
              <w:tab w:val="right" w:pos="8640"/>
            </w:tabs>
            <w:ind w:hanging="2"/>
            <w:rPr>
              <w:b/>
              <w:bCs/>
              <w:color w:val="000000"/>
            </w:rPr>
          </w:pPr>
        </w:p>
        <w:p w:rsidR="00A21C2A" w:rsidRDefault="008362DB">
          <w:pPr>
            <w:pBdr>
              <w:top w:val="nil"/>
              <w:left w:val="nil"/>
              <w:bottom w:val="nil"/>
              <w:right w:val="nil"/>
              <w:between w:val="nil"/>
            </w:pBdr>
            <w:tabs>
              <w:tab w:val="center" w:pos="4320"/>
              <w:tab w:val="right" w:pos="8640"/>
            </w:tabs>
            <w:ind w:left="-90" w:firstLine="0"/>
            <w:rPr>
              <w:rFonts w:ascii="Arial" w:eastAsia="Arial" w:hAnsi="Arial" w:cs="Arial"/>
              <w:color w:val="000000"/>
            </w:rPr>
          </w:pPr>
          <w:r>
            <w:rPr>
              <w:rFonts w:ascii="Arial" w:eastAsia="Arial" w:hAnsi="Arial" w:cs="Arial"/>
              <w:b/>
              <w:bCs/>
              <w:color w:val="000000"/>
            </w:rPr>
            <w:t>Regulatory Affairs</w:t>
          </w:r>
        </w:p>
      </w:tc>
      <w:tc>
        <w:tcPr>
          <w:tcW w:w="4881" w:type="dxa"/>
        </w:tcPr>
        <w:p w:rsidR="00A21C2A" w:rsidRDefault="00A21C2A">
          <w:pPr>
            <w:keepLines/>
            <w:pBdr>
              <w:top w:val="nil"/>
              <w:left w:val="nil"/>
              <w:bottom w:val="nil"/>
              <w:right w:val="nil"/>
              <w:between w:val="nil"/>
            </w:pBdr>
            <w:ind w:hanging="2"/>
            <w:jc w:val="right"/>
            <w:rPr>
              <w:color w:val="000000"/>
              <w:sz w:val="18"/>
              <w:szCs w:val="18"/>
            </w:rPr>
          </w:pPr>
        </w:p>
        <w:p w:rsidR="00A21C2A" w:rsidRDefault="008362DB">
          <w:pPr>
            <w:keepLines/>
            <w:pBdr>
              <w:top w:val="nil"/>
              <w:left w:val="nil"/>
              <w:bottom w:val="nil"/>
              <w:right w:val="nil"/>
              <w:between w:val="nil"/>
            </w:pBdr>
            <w:ind w:hanging="2"/>
            <w:jc w:val="right"/>
            <w:rPr>
              <w:color w:val="000000"/>
              <w:sz w:val="18"/>
              <w:szCs w:val="18"/>
            </w:rPr>
          </w:pPr>
          <w:r>
            <w:rPr>
              <w:color w:val="000000"/>
              <w:sz w:val="18"/>
              <w:szCs w:val="18"/>
            </w:rPr>
            <w:t>1 Place Ville Marie, bureau 3301</w:t>
          </w:r>
        </w:p>
        <w:p w:rsidR="00A21C2A" w:rsidRDefault="008362DB">
          <w:pPr>
            <w:keepLines/>
            <w:pBdr>
              <w:top w:val="nil"/>
              <w:left w:val="nil"/>
              <w:bottom w:val="nil"/>
              <w:right w:val="nil"/>
              <w:between w:val="nil"/>
            </w:pBdr>
            <w:ind w:hanging="2"/>
            <w:jc w:val="right"/>
            <w:rPr>
              <w:color w:val="000000"/>
              <w:sz w:val="18"/>
              <w:szCs w:val="18"/>
            </w:rPr>
          </w:pPr>
          <w:r>
            <w:rPr>
              <w:color w:val="000000"/>
              <w:sz w:val="18"/>
              <w:szCs w:val="18"/>
            </w:rPr>
            <w:t>Montréal (Québec) H3B 3N2</w:t>
          </w:r>
        </w:p>
        <w:p w:rsidR="00A21C2A" w:rsidRDefault="008362DB">
          <w:pPr>
            <w:keepLines/>
            <w:pBdr>
              <w:top w:val="nil"/>
              <w:left w:val="nil"/>
              <w:bottom w:val="nil"/>
              <w:right w:val="nil"/>
              <w:between w:val="nil"/>
            </w:pBdr>
            <w:ind w:hanging="2"/>
            <w:jc w:val="right"/>
            <w:rPr>
              <w:color w:val="000000"/>
              <w:sz w:val="18"/>
              <w:szCs w:val="18"/>
            </w:rPr>
          </w:pPr>
          <w:r>
            <w:rPr>
              <w:color w:val="000000"/>
              <w:sz w:val="18"/>
              <w:szCs w:val="18"/>
            </w:rPr>
            <w:t>Telephone</w:t>
          </w:r>
          <w:proofErr w:type="gramStart"/>
          <w:r>
            <w:rPr>
              <w:color w:val="000000"/>
              <w:sz w:val="18"/>
              <w:szCs w:val="18"/>
            </w:rPr>
            <w:t>:  (</w:t>
          </w:r>
          <w:proofErr w:type="gramEnd"/>
          <w:r>
            <w:rPr>
              <w:color w:val="000000"/>
              <w:sz w:val="18"/>
              <w:szCs w:val="18"/>
            </w:rPr>
            <w:t>514) 764-4700</w:t>
          </w:r>
        </w:p>
        <w:p w:rsidR="00A21C2A" w:rsidRDefault="008362DB">
          <w:pPr>
            <w:keepLines/>
            <w:pBdr>
              <w:top w:val="nil"/>
              <w:left w:val="nil"/>
              <w:bottom w:val="nil"/>
              <w:right w:val="nil"/>
              <w:between w:val="nil"/>
            </w:pBdr>
            <w:ind w:hanging="2"/>
            <w:jc w:val="right"/>
            <w:rPr>
              <w:color w:val="000000"/>
              <w:sz w:val="18"/>
              <w:szCs w:val="18"/>
            </w:rPr>
          </w:pPr>
          <w:r>
            <w:rPr>
              <w:color w:val="000000"/>
              <w:sz w:val="18"/>
              <w:szCs w:val="18"/>
            </w:rPr>
            <w:t>Fax</w:t>
          </w:r>
          <w:proofErr w:type="gramStart"/>
          <w:r>
            <w:rPr>
              <w:color w:val="000000"/>
              <w:sz w:val="18"/>
              <w:szCs w:val="18"/>
            </w:rPr>
            <w:t>:  (</w:t>
          </w:r>
          <w:proofErr w:type="gramEnd"/>
          <w:r>
            <w:rPr>
              <w:color w:val="000000"/>
              <w:sz w:val="18"/>
              <w:szCs w:val="18"/>
            </w:rPr>
            <w:t>514) 874-2625</w:t>
          </w:r>
        </w:p>
        <w:p w:rsidR="00A21C2A" w:rsidRDefault="008362DB">
          <w:pPr>
            <w:keepLines/>
            <w:pBdr>
              <w:top w:val="nil"/>
              <w:left w:val="nil"/>
              <w:bottom w:val="nil"/>
              <w:right w:val="nil"/>
              <w:between w:val="nil"/>
            </w:pBdr>
            <w:ind w:hanging="2"/>
            <w:jc w:val="right"/>
            <w:rPr>
              <w:color w:val="000000"/>
              <w:sz w:val="18"/>
              <w:szCs w:val="18"/>
            </w:rPr>
          </w:pPr>
          <w:hyperlink r:id="rId2">
            <w:r>
              <w:rPr>
                <w:color w:val="0000FF"/>
                <w:sz w:val="18"/>
                <w:szCs w:val="18"/>
                <w:u w:val="single"/>
              </w:rPr>
              <w:t>telecom.regulatory@cogeco.com</w:t>
            </w:r>
          </w:hyperlink>
        </w:p>
      </w:tc>
    </w:tr>
  </w:tbl>
  <w:p w:rsidR="00A21C2A" w:rsidRDefault="00A21C2A">
    <w:pPr>
      <w:pBdr>
        <w:top w:val="nil"/>
        <w:left w:val="nil"/>
        <w:bottom w:val="nil"/>
        <w:right w:val="nil"/>
        <w:between w:val="nil"/>
      </w:pBdr>
      <w:tabs>
        <w:tab w:val="center" w:pos="4320"/>
        <w:tab w:val="right" w:pos="8640"/>
      </w:tabs>
      <w:ind w:hanging="2"/>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a2"/>
      <w:tblpPr w:leftFromText="180" w:rightFromText="180" w:topFromText="180" w:bottomFromText="180" w:vertAnchor="text"/>
      <w:tblW w:w="9180" w:type="dxa"/>
      <w:tblInd w:w="0" w:type="dxa"/>
      <w:tblBorders>
        <w:top w:val="nil"/>
        <w:left w:val="nil"/>
        <w:bottom w:val="single" w:sz="12" w:space="0" w:color="000000"/>
        <w:right w:val="nil"/>
        <w:insideH w:val="nil"/>
        <w:insideV w:val="nil"/>
      </w:tblBorders>
      <w:tblLayout w:type="fixed"/>
      <w:tblLook w:val="0000" w:firstRow="0" w:lastRow="0" w:firstColumn="0" w:lastColumn="0" w:noHBand="0" w:noVBand="0"/>
    </w:tblPr>
    <w:tblGrid>
      <w:gridCol w:w="9180"/>
    </w:tblGrid>
    <w:tr w:rsidR="00A21C2A">
      <w:tc>
        <w:tcPr>
          <w:tcW w:w="9180" w:type="dxa"/>
        </w:tcPr>
        <w:sdt>
          <w:sdtPr>
            <w:tag w:val="goog_rdk_1"/>
            <w:id w:val="-1335397097"/>
            <w:lock w:val="contentLocked"/>
          </w:sdtPr>
          <w:sdtEndPr/>
          <w:sdtContent>
            <w:p w:rsidR="00A21C2A" w:rsidRDefault="008362DB">
              <w:pPr>
                <w:tabs>
                  <w:tab w:val="center" w:pos="4320"/>
                  <w:tab w:val="right" w:pos="8640"/>
                </w:tabs>
                <w:ind w:hanging="2"/>
                <w:jc w:val="right"/>
                <w:rPr>
                  <w:rFonts w:ascii="Arial" w:eastAsia="Arial" w:hAnsi="Arial" w:cs="Arial"/>
                  <w:sz w:val="20"/>
                  <w:szCs w:val="20"/>
                </w:rPr>
              </w:pPr>
              <w:r>
                <w:t xml:space="preserve">  </w:t>
              </w:r>
              <w:r>
                <w:rPr>
                  <w:rFonts w:ascii="Arial" w:eastAsia="Arial" w:hAnsi="Arial" w:cs="Arial"/>
                  <w:sz w:val="20"/>
                  <w:szCs w:val="20"/>
                </w:rPr>
                <w:t>Gazette Notice SPB-002-26</w:t>
              </w:r>
            </w:p>
            <w:p w:rsidR="00A21C2A" w:rsidRDefault="008362DB">
              <w:pPr>
                <w:tabs>
                  <w:tab w:val="center" w:pos="4320"/>
                  <w:tab w:val="right" w:pos="8640"/>
                </w:tabs>
                <w:ind w:hanging="2"/>
                <w:jc w:val="right"/>
                <w:rPr>
                  <w:rFonts w:ascii="Arial" w:eastAsia="Arial" w:hAnsi="Arial" w:cs="Arial"/>
                  <w:i/>
                  <w:iCs/>
                  <w:sz w:val="18"/>
                  <w:szCs w:val="18"/>
                </w:rPr>
              </w:pPr>
              <w:r>
                <w:rPr>
                  <w:rFonts w:ascii="Arial" w:eastAsia="Arial" w:hAnsi="Arial" w:cs="Arial"/>
                  <w:i/>
                  <w:iCs/>
                  <w:sz w:val="18"/>
                  <w:szCs w:val="18"/>
                </w:rPr>
                <w:t xml:space="preserve">Consultation on the Revisions to the 2500-2690 </w:t>
              </w:r>
              <w:r>
                <w:rPr>
                  <w:rFonts w:ascii="Arial" w:eastAsia="Arial" w:hAnsi="Arial" w:cs="Arial"/>
                  <w:i/>
                  <w:iCs/>
                  <w:sz w:val="18"/>
                  <w:szCs w:val="18"/>
                </w:rPr>
                <w:t>MHz Band Plan</w:t>
              </w:r>
            </w:p>
            <w:p w:rsidR="00A21C2A" w:rsidRDefault="008362DB">
              <w:pPr>
                <w:tabs>
                  <w:tab w:val="center" w:pos="4320"/>
                  <w:tab w:val="right" w:pos="8640"/>
                </w:tabs>
                <w:ind w:hanging="2"/>
                <w:jc w:val="right"/>
                <w:rPr>
                  <w:rFonts w:ascii="Arial" w:eastAsia="Arial" w:hAnsi="Arial" w:cs="Arial"/>
                  <w:sz w:val="22"/>
                  <w:szCs w:val="22"/>
                </w:rPr>
              </w:pPr>
              <w:r>
                <w:rPr>
                  <w:rFonts w:ascii="Arial" w:eastAsia="Arial" w:hAnsi="Arial" w:cs="Arial"/>
                  <w:b/>
                  <w:bCs/>
                  <w:sz w:val="22"/>
                  <w:szCs w:val="22"/>
                </w:rPr>
                <w:t xml:space="preserve">Reply Comments of Cogeco </w:t>
              </w:r>
            </w:p>
            <w:p w:rsidR="00A21C2A" w:rsidRDefault="008362DB">
              <w:pPr>
                <w:tabs>
                  <w:tab w:val="center" w:pos="4320"/>
                  <w:tab w:val="right" w:pos="8640"/>
                </w:tabs>
                <w:ind w:hanging="2"/>
                <w:jc w:val="right"/>
                <w:rPr>
                  <w:rFonts w:ascii="Arial" w:eastAsia="Arial" w:hAnsi="Arial" w:cs="Arial"/>
                  <w:sz w:val="18"/>
                  <w:szCs w:val="18"/>
                </w:rPr>
              </w:pPr>
              <w:r>
                <w:rPr>
                  <w:rFonts w:ascii="Arial" w:eastAsia="Arial" w:hAnsi="Arial" w:cs="Arial"/>
                  <w:sz w:val="18"/>
                  <w:szCs w:val="18"/>
                </w:rPr>
                <w:t xml:space="preserve">Page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Pr>
                  <w:rFonts w:ascii="Arial" w:eastAsia="Arial" w:hAnsi="Arial" w:cs="Arial"/>
                  <w:noProof/>
                  <w:sz w:val="18"/>
                  <w:szCs w:val="18"/>
                </w:rPr>
                <w:t>11</w:t>
              </w:r>
              <w:r>
                <w:rPr>
                  <w:rFonts w:ascii="Arial" w:eastAsia="Arial" w:hAnsi="Arial" w:cs="Arial"/>
                  <w:sz w:val="18"/>
                  <w:szCs w:val="18"/>
                </w:rPr>
                <w:fldChar w:fldCharType="end"/>
              </w:r>
              <w:r>
                <w:rPr>
                  <w:rFonts w:ascii="Arial" w:eastAsia="Arial" w:hAnsi="Arial" w:cs="Arial"/>
                  <w:sz w:val="18"/>
                  <w:szCs w:val="18"/>
                </w:rPr>
                <w:t xml:space="preserve"> of </w:t>
              </w:r>
              <w:r>
                <w:rPr>
                  <w:rFonts w:ascii="Arial" w:eastAsia="Arial" w:hAnsi="Arial" w:cs="Arial"/>
                  <w:sz w:val="18"/>
                  <w:szCs w:val="18"/>
                </w:rPr>
                <w:fldChar w:fldCharType="begin"/>
              </w:r>
              <w:r>
                <w:rPr>
                  <w:rFonts w:ascii="Arial" w:eastAsia="Arial" w:hAnsi="Arial" w:cs="Arial"/>
                  <w:sz w:val="18"/>
                  <w:szCs w:val="18"/>
                </w:rPr>
                <w:instrText>NUMPAGES</w:instrText>
              </w:r>
              <w:r>
                <w:rPr>
                  <w:rFonts w:ascii="Arial" w:eastAsia="Arial" w:hAnsi="Arial" w:cs="Arial"/>
                  <w:sz w:val="18"/>
                  <w:szCs w:val="18"/>
                </w:rPr>
                <w:fldChar w:fldCharType="separate"/>
              </w:r>
              <w:r>
                <w:rPr>
                  <w:rFonts w:ascii="Arial" w:eastAsia="Arial" w:hAnsi="Arial" w:cs="Arial"/>
                  <w:noProof/>
                  <w:sz w:val="18"/>
                  <w:szCs w:val="18"/>
                </w:rPr>
                <w:t>11</w:t>
              </w:r>
              <w:r>
                <w:rPr>
                  <w:rFonts w:ascii="Arial" w:eastAsia="Arial" w:hAnsi="Arial" w:cs="Arial"/>
                  <w:sz w:val="18"/>
                  <w:szCs w:val="18"/>
                </w:rPr>
                <w:fldChar w:fldCharType="end"/>
              </w:r>
            </w:p>
          </w:sdtContent>
        </w:sdt>
      </w:tc>
    </w:tr>
  </w:tbl>
  <w:p w:rsidR="00A21C2A" w:rsidRDefault="00A21C2A">
    <w:pPr>
      <w:tabs>
        <w:tab w:val="center" w:pos="4320"/>
        <w:tab w:val="right" w:pos="8640"/>
      </w:tabs>
      <w:ind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21C2A" w:rsidRDefault="00A21C2A">
    <w:pPr>
      <w:tabs>
        <w:tab w:val="center" w:pos="4320"/>
        <w:tab w:val="right" w:pos="8640"/>
      </w:tabs>
      <w:ind w:hanging="2"/>
      <w:jc w:val="right"/>
    </w:pPr>
  </w:p>
  <w:tbl>
    <w:tblPr>
      <w:tblStyle w:val="a3"/>
      <w:tblpPr w:leftFromText="180" w:rightFromText="180" w:topFromText="180" w:bottomFromText="180" w:vertAnchor="text"/>
      <w:tblW w:w="9180" w:type="dxa"/>
      <w:tblInd w:w="0" w:type="dxa"/>
      <w:tblBorders>
        <w:top w:val="nil"/>
        <w:left w:val="nil"/>
        <w:bottom w:val="single" w:sz="12" w:space="0" w:color="000000"/>
        <w:right w:val="nil"/>
        <w:insideH w:val="nil"/>
        <w:insideV w:val="nil"/>
      </w:tblBorders>
      <w:tblLayout w:type="fixed"/>
      <w:tblLook w:val="0000" w:firstRow="0" w:lastRow="0" w:firstColumn="0" w:lastColumn="0" w:noHBand="0" w:noVBand="0"/>
    </w:tblPr>
    <w:tblGrid>
      <w:gridCol w:w="9180"/>
    </w:tblGrid>
    <w:tr w:rsidR="00A21C2A">
      <w:tc>
        <w:tcPr>
          <w:tcW w:w="9180" w:type="dxa"/>
        </w:tcPr>
        <w:sdt>
          <w:sdtPr>
            <w:tag w:val="goog_rdk_2"/>
            <w:id w:val="-69968131"/>
            <w:lock w:val="contentLocked"/>
          </w:sdtPr>
          <w:sdtEndPr/>
          <w:sdtContent>
            <w:p w:rsidR="00A21C2A" w:rsidRDefault="008362DB">
              <w:pPr>
                <w:tabs>
                  <w:tab w:val="center" w:pos="4320"/>
                  <w:tab w:val="right" w:pos="8640"/>
                </w:tabs>
                <w:ind w:hanging="2"/>
                <w:jc w:val="right"/>
                <w:rPr>
                  <w:rFonts w:ascii="Arial" w:eastAsia="Arial" w:hAnsi="Arial" w:cs="Arial"/>
                  <w:sz w:val="20"/>
                  <w:szCs w:val="20"/>
                </w:rPr>
              </w:pPr>
              <w:r>
                <w:t xml:space="preserve">  </w:t>
              </w:r>
              <w:r>
                <w:rPr>
                  <w:rFonts w:ascii="Arial" w:eastAsia="Arial" w:hAnsi="Arial" w:cs="Arial"/>
                  <w:sz w:val="20"/>
                  <w:szCs w:val="20"/>
                </w:rPr>
                <w:t>Gazette Notice SPB-002-25</w:t>
              </w:r>
            </w:p>
            <w:p w:rsidR="00A21C2A" w:rsidRDefault="008362DB">
              <w:pPr>
                <w:tabs>
                  <w:tab w:val="center" w:pos="4320"/>
                  <w:tab w:val="right" w:pos="8640"/>
                </w:tabs>
                <w:ind w:hanging="2"/>
                <w:jc w:val="right"/>
                <w:rPr>
                  <w:rFonts w:ascii="Arial" w:eastAsia="Arial" w:hAnsi="Arial" w:cs="Arial"/>
                  <w:i/>
                  <w:iCs/>
                  <w:sz w:val="18"/>
                  <w:szCs w:val="18"/>
                </w:rPr>
              </w:pPr>
              <w:r>
                <w:rPr>
                  <w:rFonts w:ascii="Arial" w:eastAsia="Arial" w:hAnsi="Arial" w:cs="Arial"/>
                  <w:i/>
                  <w:iCs/>
                  <w:sz w:val="18"/>
                  <w:szCs w:val="18"/>
                </w:rPr>
                <w:t>Consultation on the 26 GHz and 38 GHz Bands</w:t>
              </w:r>
            </w:p>
            <w:p w:rsidR="00A21C2A" w:rsidRDefault="008362DB">
              <w:pPr>
                <w:tabs>
                  <w:tab w:val="center" w:pos="4320"/>
                  <w:tab w:val="right" w:pos="8640"/>
                </w:tabs>
                <w:ind w:hanging="2"/>
                <w:jc w:val="right"/>
                <w:rPr>
                  <w:rFonts w:ascii="Arial" w:eastAsia="Arial" w:hAnsi="Arial" w:cs="Arial"/>
                  <w:sz w:val="22"/>
                  <w:szCs w:val="22"/>
                </w:rPr>
              </w:pPr>
              <w:r>
                <w:rPr>
                  <w:rFonts w:ascii="Arial" w:eastAsia="Arial" w:hAnsi="Arial" w:cs="Arial"/>
                  <w:b/>
                  <w:bCs/>
                  <w:sz w:val="22"/>
                  <w:szCs w:val="22"/>
                </w:rPr>
                <w:t xml:space="preserve">Cogeco Comments </w:t>
              </w:r>
            </w:p>
            <w:p w:rsidR="00A21C2A" w:rsidRDefault="008362DB">
              <w:pPr>
                <w:tabs>
                  <w:tab w:val="center" w:pos="4320"/>
                  <w:tab w:val="right" w:pos="8640"/>
                </w:tabs>
                <w:ind w:hanging="2"/>
                <w:jc w:val="right"/>
                <w:rPr>
                  <w:rFonts w:ascii="Arial" w:eastAsia="Arial" w:hAnsi="Arial" w:cs="Arial"/>
                  <w:sz w:val="18"/>
                  <w:szCs w:val="18"/>
                </w:rPr>
              </w:pPr>
              <w:r>
                <w:rPr>
                  <w:rFonts w:ascii="Arial" w:eastAsia="Arial" w:hAnsi="Arial" w:cs="Arial"/>
                  <w:sz w:val="18"/>
                  <w:szCs w:val="18"/>
                </w:rPr>
                <w:t xml:space="preserve">Page </w:t>
              </w: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end"/>
              </w:r>
              <w:r>
                <w:rPr>
                  <w:rFonts w:ascii="Arial" w:eastAsia="Arial" w:hAnsi="Arial" w:cs="Arial"/>
                  <w:sz w:val="18"/>
                  <w:szCs w:val="18"/>
                </w:rPr>
                <w:t xml:space="preserve"> of </w:t>
              </w:r>
              <w:r>
                <w:rPr>
                  <w:rFonts w:ascii="Arial" w:eastAsia="Arial" w:hAnsi="Arial" w:cs="Arial"/>
                  <w:sz w:val="18"/>
                  <w:szCs w:val="18"/>
                </w:rPr>
                <w:fldChar w:fldCharType="begin"/>
              </w:r>
              <w:r>
                <w:rPr>
                  <w:rFonts w:ascii="Arial" w:eastAsia="Arial" w:hAnsi="Arial" w:cs="Arial"/>
                  <w:sz w:val="18"/>
                  <w:szCs w:val="18"/>
                </w:rPr>
                <w:instrText>NUMPAGES</w:instrText>
              </w:r>
              <w:r>
                <w:rPr>
                  <w:rFonts w:ascii="Arial" w:eastAsia="Arial" w:hAnsi="Arial" w:cs="Arial"/>
                  <w:sz w:val="18"/>
                  <w:szCs w:val="18"/>
                </w:rPr>
                <w:fldChar w:fldCharType="end"/>
              </w:r>
            </w:p>
          </w:sdtContent>
        </w:sdt>
      </w:tc>
    </w:tr>
  </w:tbl>
  <w:p w:rsidR="00A21C2A" w:rsidRDefault="00A21C2A">
    <w:pPr>
      <w:tabs>
        <w:tab w:val="center" w:pos="4320"/>
        <w:tab w:val="right" w:pos="8640"/>
      </w:tabs>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B61F99"/>
    <w:multiLevelType w:val="multilevel"/>
    <w:tmpl w:val="EE34E1BC"/>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49C3B3B"/>
    <w:multiLevelType w:val="multilevel"/>
    <w:tmpl w:val="F5042AA4"/>
    <w:lvl w:ilvl="0">
      <w:start w:val="1"/>
      <w:numFmt w:val="decimal"/>
      <w:lvlText w:val="%1."/>
      <w:lvlJc w:val="left"/>
      <w:pPr>
        <w:ind w:left="720" w:hanging="360"/>
      </w:pPr>
      <w:rPr>
        <w:rFonts w:ascii="Arial" w:eastAsia="Arial" w:hAnsi="Arial" w:cs="Arial"/>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C2A"/>
    <w:rsid w:val="008362DB"/>
    <w:rsid w:val="00A21C2A"/>
    <w:rsid w:val="00D65C08"/>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0F9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CA" w:eastAsia="en-CA" w:bidi="ar-SA"/>
      </w:rPr>
    </w:rPrDefault>
    <w:pPrDefault>
      <w:pPr>
        <w:ind w:hanging="1"/>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Arial" w:eastAsia="Arial" w:hAnsi="Arial" w:cs="Arial"/>
      <w:b/>
      <w:bCs/>
      <w:sz w:val="32"/>
      <w:szCs w:val="32"/>
    </w:rPr>
  </w:style>
  <w:style w:type="paragraph" w:styleId="Heading2">
    <w:name w:val="heading 2"/>
    <w:basedOn w:val="Normal"/>
    <w:next w:val="Normal"/>
    <w:uiPriority w:val="9"/>
    <w:semiHidden/>
    <w:unhideWhenUsed/>
    <w:qFormat/>
    <w:pPr>
      <w:keepNext/>
      <w:spacing w:before="240" w:after="60"/>
      <w:ind w:left="2881"/>
      <w:jc w:val="both"/>
      <w:outlineLvl w:val="1"/>
    </w:pPr>
    <w:rPr>
      <w:rFonts w:ascii="Arial" w:eastAsia="Arial" w:hAnsi="Arial" w:cs="Arial"/>
    </w:rPr>
  </w:style>
  <w:style w:type="paragraph" w:styleId="Heading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Heading4">
    <w:name w:val="heading 4"/>
    <w:basedOn w:val="Normal"/>
    <w:next w:val="Normal"/>
    <w:uiPriority w:val="9"/>
    <w:semiHidden/>
    <w:unhideWhenUsed/>
    <w:qFormat/>
    <w:pPr>
      <w:keepNext/>
      <w:spacing w:before="240" w:after="60"/>
      <w:outlineLvl w:val="3"/>
    </w:pPr>
    <w:rPr>
      <w:b/>
      <w:bCs/>
      <w:sz w:val="28"/>
      <w:szCs w:val="28"/>
    </w:rPr>
  </w:style>
  <w:style w:type="paragraph" w:styleId="Heading5">
    <w:name w:val="heading 5"/>
    <w:basedOn w:val="Normal"/>
    <w:next w:val="Normal"/>
    <w:uiPriority w:val="9"/>
    <w:semiHidden/>
    <w:unhideWhenUsed/>
    <w:qFormat/>
    <w:pPr>
      <w:spacing w:before="240" w:after="60"/>
      <w:outlineLvl w:val="4"/>
    </w:pPr>
    <w:rPr>
      <w:b/>
      <w:bCs/>
      <w:i/>
      <w:iCs/>
      <w:sz w:val="26"/>
      <w:szCs w:val="26"/>
    </w:rPr>
  </w:style>
  <w:style w:type="paragraph" w:styleId="Heading6">
    <w:name w:val="heading 6"/>
    <w:basedOn w:val="Normal"/>
    <w:next w:val="Normal"/>
    <w:uiPriority w:val="9"/>
    <w:semiHidden/>
    <w:unhideWhenUsed/>
    <w:qFormat/>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2" Type="http://schemas.openxmlformats.org/officeDocument/2006/relationships/hyperlink" Target="mailto:telecom.regulatory@cogeco.com" TargetMode="External"/><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9608DE-151A-4617-B67B-2B081B5959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2890</Words>
  <Characters>16479</Characters>
  <Application>Microsoft Office Word</Application>
  <DocSecurity>0</DocSecurity>
  <Lines>137</Lines>
  <Paragraphs>38</Paragraphs>
  <ScaleCrop>false</ScaleCrop>
  <Company/>
  <LinksUpToDate>false</LinksUpToDate>
  <CharactersWithSpaces>19331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2026-04-28T17:53:00Z</dcterms:created>
  <dcterms:modified xsi:type="dcterms:W3CDTF">2026-04-28T17:53:00Z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